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9FD223" w14:textId="5BB60945" w:rsidR="00D311F1" w:rsidRDefault="00D311F1" w:rsidP="002746B5">
      <w:pPr>
        <w:kinsoku w:val="0"/>
        <w:overflowPunct w:val="0"/>
        <w:autoSpaceDE w:val="0"/>
        <w:autoSpaceDN w:val="0"/>
        <w:adjustRightInd w:val="0"/>
        <w:spacing w:after="0" w:line="491" w:lineRule="exact"/>
        <w:ind w:left="632" w:right="30"/>
        <w:jc w:val="center"/>
        <w:rPr>
          <w:rFonts w:ascii="Arial" w:hAnsi="Arial" w:cs="Arial"/>
          <w:b/>
          <w:bCs/>
          <w:sz w:val="48"/>
          <w:szCs w:val="48"/>
        </w:rPr>
      </w:pPr>
      <w:r>
        <w:rPr>
          <w:rFonts w:ascii="Arial" w:hAnsi="Arial" w:cs="Arial"/>
          <w:b/>
          <w:bCs/>
          <w:sz w:val="48"/>
          <w:szCs w:val="48"/>
        </w:rPr>
        <w:t>Kingdom of Cambodia</w:t>
      </w:r>
    </w:p>
    <w:p w14:paraId="53101839" w14:textId="381CF2C9" w:rsidR="00996CA0" w:rsidRDefault="00996CA0" w:rsidP="00996CA0">
      <w:pPr>
        <w:spacing w:after="0" w:line="240" w:lineRule="auto"/>
        <w:jc w:val="center"/>
        <w:rPr>
          <w:sz w:val="40"/>
          <w:szCs w:val="40"/>
        </w:rPr>
      </w:pPr>
      <w:bookmarkStart w:id="0" w:name="_Hlk90056107"/>
      <w:r w:rsidRPr="00E87BDE">
        <w:rPr>
          <w:sz w:val="40"/>
          <w:szCs w:val="40"/>
        </w:rPr>
        <w:t>Nation Religion King</w:t>
      </w:r>
    </w:p>
    <w:p w14:paraId="499AE255" w14:textId="77777777" w:rsidR="00634DDD" w:rsidRDefault="00634DDD" w:rsidP="00996CA0">
      <w:pPr>
        <w:spacing w:after="0" w:line="240" w:lineRule="auto"/>
        <w:jc w:val="center"/>
        <w:rPr>
          <w:sz w:val="40"/>
          <w:szCs w:val="40"/>
        </w:rPr>
      </w:pPr>
    </w:p>
    <w:bookmarkEnd w:id="0"/>
    <w:p w14:paraId="2B7E37AC" w14:textId="77777777" w:rsidR="00996CA0" w:rsidRDefault="00996CA0" w:rsidP="00996CA0">
      <w:pPr>
        <w:jc w:val="center"/>
        <w:rPr>
          <w:sz w:val="40"/>
          <w:szCs w:val="40"/>
        </w:rPr>
      </w:pPr>
      <w:r w:rsidRPr="00E87BDE">
        <w:rPr>
          <w:noProof/>
          <w:sz w:val="40"/>
          <w:szCs w:val="40"/>
        </w:rPr>
        <w:drawing>
          <wp:inline distT="0" distB="0" distL="0" distR="0" wp14:anchorId="242A89B8" wp14:editId="0EF20F38">
            <wp:extent cx="1147368" cy="728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8139" cy="748530"/>
                    </a:xfrm>
                    <a:prstGeom prst="rect">
                      <a:avLst/>
                    </a:prstGeom>
                    <a:noFill/>
                    <a:ln>
                      <a:noFill/>
                    </a:ln>
                  </pic:spPr>
                </pic:pic>
              </a:graphicData>
            </a:graphic>
          </wp:inline>
        </w:drawing>
      </w:r>
      <w:r>
        <w:rPr>
          <w:noProof/>
          <w:sz w:val="40"/>
          <w:szCs w:val="40"/>
        </w:rPr>
        <w:t xml:space="preserve">     </w:t>
      </w:r>
    </w:p>
    <w:p w14:paraId="718E760D" w14:textId="77777777" w:rsidR="00D311F1" w:rsidRDefault="00D311F1" w:rsidP="002746B5">
      <w:pPr>
        <w:kinsoku w:val="0"/>
        <w:overflowPunct w:val="0"/>
        <w:autoSpaceDE w:val="0"/>
        <w:autoSpaceDN w:val="0"/>
        <w:adjustRightInd w:val="0"/>
        <w:spacing w:after="0" w:line="491" w:lineRule="exact"/>
        <w:ind w:left="632" w:right="30"/>
        <w:jc w:val="center"/>
        <w:rPr>
          <w:rFonts w:ascii="Arial" w:hAnsi="Arial" w:cs="Arial"/>
          <w:b/>
          <w:bCs/>
          <w:sz w:val="48"/>
          <w:szCs w:val="48"/>
        </w:rPr>
      </w:pPr>
    </w:p>
    <w:p w14:paraId="6E199AF4" w14:textId="77777777" w:rsidR="00D311F1" w:rsidRPr="00B4670F" w:rsidRDefault="00D311F1" w:rsidP="002746B5">
      <w:pPr>
        <w:kinsoku w:val="0"/>
        <w:overflowPunct w:val="0"/>
        <w:autoSpaceDE w:val="0"/>
        <w:autoSpaceDN w:val="0"/>
        <w:adjustRightInd w:val="0"/>
        <w:spacing w:after="0" w:line="491" w:lineRule="exact"/>
        <w:ind w:left="632" w:right="30"/>
        <w:jc w:val="center"/>
        <w:rPr>
          <w:rFonts w:ascii="Arial" w:hAnsi="Arial" w:cs="Arial"/>
          <w:b/>
          <w:bCs/>
          <w:sz w:val="48"/>
          <w:szCs w:val="48"/>
        </w:rPr>
      </w:pPr>
    </w:p>
    <w:p w14:paraId="7E0FFAF0" w14:textId="461AD4EE" w:rsidR="00455572" w:rsidRDefault="00455572" w:rsidP="002746B5">
      <w:pPr>
        <w:kinsoku w:val="0"/>
        <w:overflowPunct w:val="0"/>
        <w:autoSpaceDE w:val="0"/>
        <w:autoSpaceDN w:val="0"/>
        <w:adjustRightInd w:val="0"/>
        <w:spacing w:after="0" w:line="491" w:lineRule="exact"/>
        <w:ind w:left="632" w:right="30"/>
        <w:jc w:val="center"/>
        <w:rPr>
          <w:rFonts w:ascii="Arial" w:hAnsi="Arial" w:cs="Arial"/>
          <w:b/>
          <w:bCs/>
          <w:sz w:val="48"/>
          <w:szCs w:val="48"/>
        </w:rPr>
      </w:pPr>
    </w:p>
    <w:p w14:paraId="44330D60" w14:textId="76170CEA" w:rsidR="00D311F1" w:rsidRDefault="00455572" w:rsidP="00D311F1">
      <w:pPr>
        <w:kinsoku w:val="0"/>
        <w:overflowPunct w:val="0"/>
        <w:autoSpaceDE w:val="0"/>
        <w:autoSpaceDN w:val="0"/>
        <w:adjustRightInd w:val="0"/>
        <w:spacing w:after="0" w:line="491" w:lineRule="exact"/>
        <w:ind w:left="632" w:right="30"/>
        <w:jc w:val="center"/>
        <w:rPr>
          <w:rFonts w:ascii="Arial" w:hAnsi="Arial" w:cs="Arial"/>
          <w:b/>
          <w:bCs/>
          <w:sz w:val="48"/>
          <w:szCs w:val="48"/>
        </w:rPr>
      </w:pPr>
      <w:r>
        <w:rPr>
          <w:rFonts w:ascii="Arial" w:hAnsi="Arial" w:cs="Arial"/>
          <w:b/>
          <w:bCs/>
          <w:sz w:val="48"/>
          <w:szCs w:val="48"/>
        </w:rPr>
        <w:t>Cambodia Nutrition Project</w:t>
      </w:r>
      <w:r w:rsidR="00DF77FF">
        <w:rPr>
          <w:rFonts w:ascii="Arial" w:hAnsi="Arial" w:cs="Arial"/>
          <w:b/>
          <w:bCs/>
          <w:sz w:val="48"/>
          <w:szCs w:val="48"/>
        </w:rPr>
        <w:t xml:space="preserve"> </w:t>
      </w:r>
      <w:r w:rsidR="006B2C82">
        <w:rPr>
          <w:rFonts w:ascii="Arial" w:hAnsi="Arial" w:cs="Arial"/>
          <w:b/>
          <w:bCs/>
          <w:sz w:val="48"/>
          <w:szCs w:val="48"/>
        </w:rPr>
        <w:t xml:space="preserve">ll </w:t>
      </w:r>
    </w:p>
    <w:p w14:paraId="0E677F29" w14:textId="050BA0E0" w:rsidR="00455572" w:rsidRDefault="003B13DD" w:rsidP="002746B5">
      <w:pPr>
        <w:kinsoku w:val="0"/>
        <w:overflowPunct w:val="0"/>
        <w:autoSpaceDE w:val="0"/>
        <w:autoSpaceDN w:val="0"/>
        <w:adjustRightInd w:val="0"/>
        <w:spacing w:after="0" w:line="491" w:lineRule="exact"/>
        <w:ind w:left="632" w:right="30"/>
        <w:jc w:val="center"/>
        <w:rPr>
          <w:rFonts w:ascii="Arial" w:hAnsi="Arial" w:cs="Arial"/>
          <w:b/>
          <w:bCs/>
          <w:sz w:val="48"/>
          <w:szCs w:val="48"/>
        </w:rPr>
      </w:pPr>
      <w:r w:rsidRPr="003B13DD">
        <w:rPr>
          <w:rFonts w:ascii="Arial" w:hAnsi="Arial" w:cs="Arial"/>
          <w:b/>
          <w:bCs/>
          <w:sz w:val="48"/>
          <w:szCs w:val="48"/>
        </w:rPr>
        <w:t>P17</w:t>
      </w:r>
      <w:r w:rsidR="00D311F1">
        <w:rPr>
          <w:rFonts w:ascii="Arial" w:hAnsi="Arial" w:cs="Arial"/>
          <w:b/>
          <w:bCs/>
          <w:sz w:val="48"/>
          <w:szCs w:val="48"/>
        </w:rPr>
        <w:t>7370</w:t>
      </w:r>
    </w:p>
    <w:p w14:paraId="5452CB3D" w14:textId="77777777" w:rsidR="00C1084C" w:rsidRPr="00B4670F" w:rsidRDefault="00C1084C" w:rsidP="002746B5">
      <w:pPr>
        <w:kinsoku w:val="0"/>
        <w:overflowPunct w:val="0"/>
        <w:autoSpaceDE w:val="0"/>
        <w:autoSpaceDN w:val="0"/>
        <w:adjustRightInd w:val="0"/>
        <w:spacing w:after="0" w:line="491" w:lineRule="exact"/>
        <w:ind w:left="632" w:right="30"/>
        <w:jc w:val="center"/>
        <w:rPr>
          <w:rFonts w:ascii="Arial" w:hAnsi="Arial" w:cs="Arial"/>
          <w:b/>
          <w:bCs/>
          <w:sz w:val="48"/>
          <w:szCs w:val="48"/>
        </w:rPr>
      </w:pPr>
    </w:p>
    <w:p w14:paraId="196E3ED0" w14:textId="5E54CC15" w:rsidR="00B4670F" w:rsidRDefault="00B4670F" w:rsidP="00D311F1">
      <w:pPr>
        <w:kinsoku w:val="0"/>
        <w:overflowPunct w:val="0"/>
        <w:autoSpaceDE w:val="0"/>
        <w:autoSpaceDN w:val="0"/>
        <w:adjustRightInd w:val="0"/>
        <w:spacing w:after="0" w:line="491" w:lineRule="exact"/>
        <w:ind w:left="632" w:right="30"/>
        <w:jc w:val="center"/>
        <w:rPr>
          <w:rFonts w:ascii="Arial" w:hAnsi="Arial" w:cs="Arial"/>
          <w:b/>
          <w:bCs/>
          <w:sz w:val="48"/>
          <w:szCs w:val="48"/>
        </w:rPr>
      </w:pPr>
      <w:r w:rsidRPr="00B4670F">
        <w:rPr>
          <w:rFonts w:ascii="Arial" w:hAnsi="Arial" w:cs="Arial"/>
          <w:b/>
          <w:bCs/>
          <w:sz w:val="48"/>
          <w:szCs w:val="48"/>
        </w:rPr>
        <w:t>Environmental</w:t>
      </w:r>
      <w:r w:rsidRPr="00B4670F">
        <w:rPr>
          <w:rFonts w:ascii="Arial" w:hAnsi="Arial" w:cs="Arial"/>
          <w:b/>
          <w:bCs/>
          <w:spacing w:val="1"/>
          <w:sz w:val="48"/>
          <w:szCs w:val="48"/>
        </w:rPr>
        <w:t xml:space="preserve"> </w:t>
      </w:r>
      <w:r w:rsidR="00C1084C">
        <w:rPr>
          <w:rFonts w:ascii="Arial" w:hAnsi="Arial" w:cs="Arial"/>
          <w:b/>
          <w:bCs/>
          <w:spacing w:val="1"/>
          <w:sz w:val="48"/>
          <w:szCs w:val="48"/>
        </w:rPr>
        <w:t xml:space="preserve">and Social </w:t>
      </w:r>
      <w:r w:rsidRPr="00B4670F">
        <w:rPr>
          <w:rFonts w:ascii="Arial" w:hAnsi="Arial" w:cs="Arial"/>
          <w:b/>
          <w:bCs/>
          <w:sz w:val="48"/>
          <w:szCs w:val="48"/>
        </w:rPr>
        <w:t>Management</w:t>
      </w:r>
      <w:r w:rsidRPr="00B4670F">
        <w:rPr>
          <w:rFonts w:ascii="Arial" w:hAnsi="Arial" w:cs="Arial"/>
          <w:b/>
          <w:bCs/>
          <w:spacing w:val="4"/>
          <w:sz w:val="48"/>
          <w:szCs w:val="48"/>
        </w:rPr>
        <w:t xml:space="preserve"> </w:t>
      </w:r>
      <w:r w:rsidRPr="00B4670F">
        <w:rPr>
          <w:rFonts w:ascii="Arial" w:hAnsi="Arial" w:cs="Arial"/>
          <w:b/>
          <w:bCs/>
          <w:sz w:val="48"/>
          <w:szCs w:val="48"/>
        </w:rPr>
        <w:t>Plan</w:t>
      </w:r>
    </w:p>
    <w:p w14:paraId="76262F3F" w14:textId="77777777" w:rsidR="00D311F1" w:rsidRPr="00B4670F" w:rsidRDefault="00D311F1" w:rsidP="002746B5">
      <w:pPr>
        <w:kinsoku w:val="0"/>
        <w:overflowPunct w:val="0"/>
        <w:autoSpaceDE w:val="0"/>
        <w:autoSpaceDN w:val="0"/>
        <w:adjustRightInd w:val="0"/>
        <w:spacing w:after="0" w:line="491" w:lineRule="exact"/>
        <w:ind w:left="632" w:right="30"/>
        <w:jc w:val="center"/>
        <w:rPr>
          <w:rFonts w:ascii="Arial" w:hAnsi="Arial" w:cs="Arial"/>
          <w:b/>
          <w:bCs/>
          <w:sz w:val="48"/>
          <w:szCs w:val="48"/>
        </w:rPr>
      </w:pPr>
    </w:p>
    <w:p w14:paraId="356C6111" w14:textId="5954BC0C" w:rsidR="00B4670F" w:rsidRPr="00B4670F" w:rsidRDefault="00B4670F" w:rsidP="002746B5">
      <w:pPr>
        <w:kinsoku w:val="0"/>
        <w:overflowPunct w:val="0"/>
        <w:autoSpaceDE w:val="0"/>
        <w:autoSpaceDN w:val="0"/>
        <w:adjustRightInd w:val="0"/>
        <w:spacing w:after="0" w:line="491" w:lineRule="exact"/>
        <w:ind w:left="632" w:right="30"/>
        <w:jc w:val="center"/>
        <w:rPr>
          <w:rFonts w:ascii="Arial" w:hAnsi="Arial" w:cs="Arial"/>
          <w:b/>
          <w:bCs/>
          <w:sz w:val="48"/>
          <w:szCs w:val="48"/>
        </w:rPr>
      </w:pPr>
      <w:r w:rsidRPr="00B4670F">
        <w:rPr>
          <w:rFonts w:ascii="Arial" w:hAnsi="Arial" w:cs="Arial"/>
          <w:b/>
          <w:bCs/>
          <w:sz w:val="48"/>
          <w:szCs w:val="48"/>
        </w:rPr>
        <w:t>(E</w:t>
      </w:r>
      <w:r w:rsidR="00C1084C">
        <w:rPr>
          <w:rFonts w:ascii="Arial" w:hAnsi="Arial" w:cs="Arial"/>
          <w:b/>
          <w:bCs/>
          <w:sz w:val="48"/>
          <w:szCs w:val="48"/>
        </w:rPr>
        <w:t>S</w:t>
      </w:r>
      <w:r w:rsidR="000351AA">
        <w:rPr>
          <w:rFonts w:ascii="Arial" w:hAnsi="Arial" w:cs="Arial"/>
          <w:b/>
          <w:bCs/>
          <w:sz w:val="48"/>
          <w:szCs w:val="48"/>
        </w:rPr>
        <w:t>M</w:t>
      </w:r>
      <w:r w:rsidRPr="00B4670F">
        <w:rPr>
          <w:rFonts w:ascii="Arial" w:hAnsi="Arial" w:cs="Arial"/>
          <w:b/>
          <w:bCs/>
          <w:sz w:val="48"/>
          <w:szCs w:val="48"/>
        </w:rPr>
        <w:t>P</w:t>
      </w:r>
      <w:r w:rsidR="00D311F1">
        <w:rPr>
          <w:rFonts w:ascii="Arial" w:hAnsi="Arial" w:cs="Arial"/>
          <w:b/>
          <w:bCs/>
          <w:sz w:val="48"/>
          <w:szCs w:val="48"/>
        </w:rPr>
        <w:t>)</w:t>
      </w:r>
    </w:p>
    <w:p w14:paraId="61518139" w14:textId="77777777" w:rsidR="00B4670F" w:rsidRDefault="00B4670F" w:rsidP="001B3941">
      <w:pPr>
        <w:kinsoku w:val="0"/>
        <w:overflowPunct w:val="0"/>
        <w:autoSpaceDE w:val="0"/>
        <w:autoSpaceDN w:val="0"/>
        <w:adjustRightInd w:val="0"/>
        <w:spacing w:after="0" w:line="491" w:lineRule="exact"/>
        <w:ind w:left="632" w:right="30"/>
        <w:jc w:val="both"/>
        <w:rPr>
          <w:rFonts w:ascii="Arial" w:hAnsi="Arial" w:cs="Arial"/>
          <w:b/>
          <w:bCs/>
          <w:sz w:val="48"/>
          <w:szCs w:val="48"/>
        </w:rPr>
      </w:pPr>
    </w:p>
    <w:p w14:paraId="731CE7FA" w14:textId="77777777" w:rsidR="00C1084C" w:rsidRDefault="00C1084C" w:rsidP="001B3941">
      <w:pPr>
        <w:kinsoku w:val="0"/>
        <w:overflowPunct w:val="0"/>
        <w:autoSpaceDE w:val="0"/>
        <w:autoSpaceDN w:val="0"/>
        <w:adjustRightInd w:val="0"/>
        <w:spacing w:after="0" w:line="491" w:lineRule="exact"/>
        <w:ind w:left="632" w:right="30"/>
        <w:jc w:val="both"/>
        <w:rPr>
          <w:rFonts w:ascii="Arial" w:hAnsi="Arial" w:cs="Arial"/>
          <w:b/>
          <w:bCs/>
          <w:sz w:val="48"/>
          <w:szCs w:val="48"/>
        </w:rPr>
      </w:pPr>
    </w:p>
    <w:p w14:paraId="098EA5D9" w14:textId="77777777" w:rsidR="00C1084C" w:rsidRDefault="00C1084C" w:rsidP="001B3941">
      <w:pPr>
        <w:kinsoku w:val="0"/>
        <w:overflowPunct w:val="0"/>
        <w:autoSpaceDE w:val="0"/>
        <w:autoSpaceDN w:val="0"/>
        <w:adjustRightInd w:val="0"/>
        <w:spacing w:after="0" w:line="491" w:lineRule="exact"/>
        <w:ind w:left="632" w:right="30"/>
        <w:jc w:val="both"/>
        <w:rPr>
          <w:rFonts w:ascii="Arial" w:hAnsi="Arial" w:cs="Arial"/>
          <w:b/>
          <w:bCs/>
          <w:sz w:val="48"/>
          <w:szCs w:val="48"/>
        </w:rPr>
      </w:pPr>
    </w:p>
    <w:p w14:paraId="1B000062" w14:textId="77777777" w:rsidR="00C1084C" w:rsidRDefault="00C1084C" w:rsidP="001B3941">
      <w:pPr>
        <w:kinsoku w:val="0"/>
        <w:overflowPunct w:val="0"/>
        <w:autoSpaceDE w:val="0"/>
        <w:autoSpaceDN w:val="0"/>
        <w:adjustRightInd w:val="0"/>
        <w:spacing w:after="0" w:line="491" w:lineRule="exact"/>
        <w:ind w:left="632" w:right="30"/>
        <w:jc w:val="both"/>
        <w:rPr>
          <w:rFonts w:ascii="Arial" w:hAnsi="Arial" w:cs="Arial"/>
          <w:b/>
          <w:bCs/>
          <w:sz w:val="48"/>
          <w:szCs w:val="48"/>
        </w:rPr>
      </w:pPr>
    </w:p>
    <w:p w14:paraId="3C2FB456" w14:textId="77777777" w:rsidR="00C1084C" w:rsidRDefault="00C1084C" w:rsidP="001B3941">
      <w:pPr>
        <w:kinsoku w:val="0"/>
        <w:overflowPunct w:val="0"/>
        <w:autoSpaceDE w:val="0"/>
        <w:autoSpaceDN w:val="0"/>
        <w:adjustRightInd w:val="0"/>
        <w:spacing w:after="0" w:line="491" w:lineRule="exact"/>
        <w:ind w:left="632" w:right="30"/>
        <w:jc w:val="both"/>
        <w:rPr>
          <w:rFonts w:ascii="Arial" w:hAnsi="Arial" w:cs="Arial"/>
          <w:b/>
          <w:bCs/>
          <w:sz w:val="48"/>
          <w:szCs w:val="48"/>
        </w:rPr>
      </w:pPr>
    </w:p>
    <w:p w14:paraId="0B8ACBE6" w14:textId="442824B9" w:rsidR="00C1084C" w:rsidRDefault="00C1084C" w:rsidP="001B3941">
      <w:pPr>
        <w:kinsoku w:val="0"/>
        <w:overflowPunct w:val="0"/>
        <w:autoSpaceDE w:val="0"/>
        <w:autoSpaceDN w:val="0"/>
        <w:adjustRightInd w:val="0"/>
        <w:spacing w:after="0" w:line="491" w:lineRule="exact"/>
        <w:ind w:left="632" w:right="30"/>
        <w:jc w:val="both"/>
        <w:rPr>
          <w:rFonts w:ascii="Arial" w:hAnsi="Arial" w:cs="Arial"/>
          <w:b/>
          <w:bCs/>
          <w:sz w:val="48"/>
          <w:szCs w:val="48"/>
        </w:rPr>
      </w:pPr>
    </w:p>
    <w:p w14:paraId="5315B655" w14:textId="65C73E39" w:rsidR="00634DDD" w:rsidRDefault="00634DDD" w:rsidP="001B3941">
      <w:pPr>
        <w:kinsoku w:val="0"/>
        <w:overflowPunct w:val="0"/>
        <w:autoSpaceDE w:val="0"/>
        <w:autoSpaceDN w:val="0"/>
        <w:adjustRightInd w:val="0"/>
        <w:spacing w:after="0" w:line="491" w:lineRule="exact"/>
        <w:ind w:left="632" w:right="30"/>
        <w:jc w:val="both"/>
        <w:rPr>
          <w:rFonts w:ascii="Arial" w:hAnsi="Arial" w:cs="Arial"/>
          <w:b/>
          <w:bCs/>
          <w:sz w:val="48"/>
          <w:szCs w:val="48"/>
        </w:rPr>
      </w:pPr>
    </w:p>
    <w:p w14:paraId="27AB0107" w14:textId="77777777" w:rsidR="005046B4" w:rsidRDefault="005046B4" w:rsidP="001B3941">
      <w:pPr>
        <w:kinsoku w:val="0"/>
        <w:overflowPunct w:val="0"/>
        <w:autoSpaceDE w:val="0"/>
        <w:autoSpaceDN w:val="0"/>
        <w:adjustRightInd w:val="0"/>
        <w:spacing w:after="0" w:line="491" w:lineRule="exact"/>
        <w:ind w:left="632" w:right="30"/>
        <w:jc w:val="both"/>
        <w:rPr>
          <w:rFonts w:ascii="Arial" w:hAnsi="Arial" w:cs="Arial"/>
          <w:b/>
          <w:bCs/>
          <w:sz w:val="48"/>
          <w:szCs w:val="48"/>
        </w:rPr>
      </w:pPr>
    </w:p>
    <w:p w14:paraId="7AE339C5" w14:textId="77777777" w:rsidR="00634DDD" w:rsidRDefault="00634DDD" w:rsidP="001B3941">
      <w:pPr>
        <w:kinsoku w:val="0"/>
        <w:overflowPunct w:val="0"/>
        <w:autoSpaceDE w:val="0"/>
        <w:autoSpaceDN w:val="0"/>
        <w:adjustRightInd w:val="0"/>
        <w:spacing w:after="0" w:line="491" w:lineRule="exact"/>
        <w:ind w:left="632" w:right="30"/>
        <w:jc w:val="both"/>
        <w:rPr>
          <w:rFonts w:ascii="Arial" w:hAnsi="Arial" w:cs="Arial"/>
          <w:b/>
          <w:bCs/>
          <w:sz w:val="48"/>
          <w:szCs w:val="48"/>
        </w:rPr>
      </w:pPr>
    </w:p>
    <w:p w14:paraId="7804A8A8" w14:textId="77777777" w:rsidR="005046B4" w:rsidRDefault="005046B4" w:rsidP="00634DDD">
      <w:pPr>
        <w:ind w:right="30"/>
        <w:jc w:val="center"/>
        <w:rPr>
          <w:rFonts w:ascii="Arial" w:hAnsi="Arial" w:cs="Arial"/>
          <w:b/>
          <w:bCs/>
          <w:sz w:val="48"/>
          <w:szCs w:val="48"/>
        </w:rPr>
      </w:pPr>
    </w:p>
    <w:p w14:paraId="19D4A929" w14:textId="37CABEC0" w:rsidR="00C1084C" w:rsidRDefault="00996CA0" w:rsidP="00634DDD">
      <w:pPr>
        <w:ind w:right="30"/>
        <w:jc w:val="center"/>
        <w:rPr>
          <w:rFonts w:ascii="Arial" w:hAnsi="Arial" w:cs="Arial"/>
          <w:b/>
          <w:bCs/>
          <w:sz w:val="48"/>
          <w:szCs w:val="48"/>
        </w:rPr>
      </w:pPr>
      <w:r>
        <w:rPr>
          <w:rFonts w:ascii="Arial" w:hAnsi="Arial" w:cs="Arial"/>
          <w:b/>
          <w:bCs/>
          <w:sz w:val="48"/>
          <w:szCs w:val="48"/>
        </w:rPr>
        <w:t>December 2021</w:t>
      </w:r>
      <w:r w:rsidR="00C1084C">
        <w:rPr>
          <w:rFonts w:ascii="Arial" w:hAnsi="Arial" w:cs="Arial"/>
          <w:b/>
          <w:bCs/>
          <w:sz w:val="48"/>
          <w:szCs w:val="48"/>
        </w:rPr>
        <w:br w:type="page"/>
      </w:r>
    </w:p>
    <w:p w14:paraId="40D6DED5" w14:textId="77777777" w:rsidR="00C1084C" w:rsidRPr="00B4670F" w:rsidRDefault="00C1084C" w:rsidP="001B3941">
      <w:pPr>
        <w:kinsoku w:val="0"/>
        <w:overflowPunct w:val="0"/>
        <w:autoSpaceDE w:val="0"/>
        <w:autoSpaceDN w:val="0"/>
        <w:adjustRightInd w:val="0"/>
        <w:spacing w:after="0" w:line="491" w:lineRule="exact"/>
        <w:ind w:left="632" w:right="30"/>
        <w:jc w:val="both"/>
        <w:rPr>
          <w:rFonts w:ascii="Arial" w:hAnsi="Arial" w:cs="Arial"/>
          <w:b/>
          <w:bCs/>
          <w:sz w:val="48"/>
          <w:szCs w:val="48"/>
        </w:rPr>
        <w:sectPr w:rsidR="00C1084C" w:rsidRPr="00B4670F" w:rsidSect="00B4670F">
          <w:headerReference w:type="even" r:id="rId9"/>
          <w:headerReference w:type="default" r:id="rId10"/>
          <w:footerReference w:type="even" r:id="rId11"/>
          <w:footerReference w:type="default" r:id="rId12"/>
          <w:headerReference w:type="first" r:id="rId13"/>
          <w:footerReference w:type="first" r:id="rId14"/>
          <w:pgSz w:w="11910" w:h="16840"/>
          <w:pgMar w:top="1440" w:right="1160" w:bottom="280" w:left="640" w:header="720" w:footer="720" w:gutter="0"/>
          <w:cols w:space="720"/>
          <w:noEndnote/>
        </w:sectPr>
      </w:pPr>
    </w:p>
    <w:p w14:paraId="7BF2A516" w14:textId="05FB987F" w:rsidR="00B4670F" w:rsidRPr="00994535" w:rsidRDefault="00B4670F" w:rsidP="002746B5">
      <w:pPr>
        <w:kinsoku w:val="0"/>
        <w:overflowPunct w:val="0"/>
        <w:autoSpaceDE w:val="0"/>
        <w:autoSpaceDN w:val="0"/>
        <w:adjustRightInd w:val="0"/>
        <w:spacing w:before="4" w:after="0" w:line="240" w:lineRule="auto"/>
        <w:ind w:left="-90" w:right="30"/>
        <w:jc w:val="both"/>
        <w:outlineLvl w:val="0"/>
        <w:rPr>
          <w:rFonts w:ascii="Calibri" w:hAnsi="Calibri" w:cs="Calibri"/>
          <w:b/>
          <w:bCs/>
          <w:sz w:val="28"/>
          <w:szCs w:val="28"/>
        </w:rPr>
      </w:pPr>
      <w:bookmarkStart w:id="1" w:name="_GoBack"/>
      <w:bookmarkEnd w:id="1"/>
      <w:r w:rsidRPr="002746B5">
        <w:rPr>
          <w:rFonts w:ascii="Calibri" w:hAnsi="Calibri" w:cs="Calibri"/>
          <w:b/>
          <w:bCs/>
          <w:sz w:val="28"/>
          <w:szCs w:val="28"/>
        </w:rPr>
        <w:lastRenderedPageBreak/>
        <w:t>1.</w:t>
      </w:r>
      <w:r w:rsidRPr="002746B5">
        <w:rPr>
          <w:rFonts w:ascii="Calibri" w:hAnsi="Calibri" w:cs="Calibri"/>
          <w:b/>
          <w:bCs/>
          <w:spacing w:val="46"/>
          <w:sz w:val="28"/>
          <w:szCs w:val="28"/>
        </w:rPr>
        <w:t xml:space="preserve"> </w:t>
      </w:r>
      <w:r w:rsidRPr="00994535">
        <w:rPr>
          <w:rFonts w:ascii="Calibri" w:hAnsi="Calibri" w:cs="Calibri"/>
          <w:b/>
          <w:bCs/>
          <w:sz w:val="28"/>
          <w:szCs w:val="28"/>
        </w:rPr>
        <w:t>INTRODUCTION</w:t>
      </w:r>
      <w:r w:rsidRPr="00994535">
        <w:rPr>
          <w:rFonts w:ascii="Calibri" w:hAnsi="Calibri" w:cs="Calibri"/>
          <w:b/>
          <w:bCs/>
          <w:spacing w:val="-2"/>
          <w:sz w:val="28"/>
          <w:szCs w:val="28"/>
        </w:rPr>
        <w:t xml:space="preserve"> </w:t>
      </w:r>
      <w:r w:rsidRPr="00994535">
        <w:rPr>
          <w:rFonts w:ascii="Calibri" w:hAnsi="Calibri" w:cs="Calibri"/>
          <w:b/>
          <w:bCs/>
          <w:sz w:val="28"/>
          <w:szCs w:val="28"/>
        </w:rPr>
        <w:t>AND</w:t>
      </w:r>
      <w:r w:rsidRPr="00994535">
        <w:rPr>
          <w:rFonts w:ascii="Calibri" w:hAnsi="Calibri" w:cs="Calibri"/>
          <w:b/>
          <w:bCs/>
          <w:spacing w:val="-3"/>
          <w:sz w:val="28"/>
          <w:szCs w:val="28"/>
        </w:rPr>
        <w:t xml:space="preserve"> </w:t>
      </w:r>
      <w:r w:rsidRPr="00994535">
        <w:rPr>
          <w:rFonts w:ascii="Calibri" w:hAnsi="Calibri" w:cs="Calibri"/>
          <w:b/>
          <w:bCs/>
          <w:sz w:val="28"/>
          <w:szCs w:val="28"/>
        </w:rPr>
        <w:t>BACKGROUND</w:t>
      </w:r>
    </w:p>
    <w:p w14:paraId="26B42DB0" w14:textId="77777777" w:rsidR="00B4670F" w:rsidRPr="00B4670F" w:rsidRDefault="00B4670F" w:rsidP="002746B5">
      <w:pPr>
        <w:kinsoku w:val="0"/>
        <w:overflowPunct w:val="0"/>
        <w:autoSpaceDE w:val="0"/>
        <w:autoSpaceDN w:val="0"/>
        <w:adjustRightInd w:val="0"/>
        <w:spacing w:after="0" w:line="240" w:lineRule="auto"/>
        <w:ind w:left="-90" w:right="30"/>
        <w:jc w:val="both"/>
        <w:rPr>
          <w:rFonts w:ascii="Calibri" w:hAnsi="Calibri" w:cs="Calibri"/>
          <w:b/>
          <w:bCs/>
          <w:sz w:val="20"/>
          <w:szCs w:val="20"/>
        </w:rPr>
      </w:pPr>
    </w:p>
    <w:p w14:paraId="4A597005" w14:textId="3B6B7262" w:rsidR="00106405" w:rsidRDefault="00D311F1" w:rsidP="00994535">
      <w:pPr>
        <w:pStyle w:val="ListParagraph"/>
        <w:numPr>
          <w:ilvl w:val="1"/>
          <w:numId w:val="59"/>
        </w:numPr>
        <w:kinsoku w:val="0"/>
        <w:overflowPunct w:val="0"/>
        <w:spacing w:before="178"/>
        <w:ind w:right="30"/>
        <w:jc w:val="both"/>
        <w:rPr>
          <w:b/>
          <w:bCs/>
          <w:sz w:val="28"/>
          <w:szCs w:val="28"/>
        </w:rPr>
      </w:pPr>
      <w:bookmarkStart w:id="2" w:name="_bookmark1"/>
      <w:bookmarkEnd w:id="2"/>
      <w:r w:rsidRPr="002746B5">
        <w:rPr>
          <w:b/>
          <w:bCs/>
          <w:sz w:val="28"/>
          <w:szCs w:val="28"/>
        </w:rPr>
        <w:t>PROJECT DESCRIPTION</w:t>
      </w:r>
    </w:p>
    <w:p w14:paraId="6662A427" w14:textId="3B6B3605" w:rsidR="003A3CFD" w:rsidRDefault="00D311F1" w:rsidP="00DF77FF">
      <w:pPr>
        <w:kinsoku w:val="0"/>
        <w:overflowPunct w:val="0"/>
        <w:autoSpaceDE w:val="0"/>
        <w:autoSpaceDN w:val="0"/>
        <w:adjustRightInd w:val="0"/>
        <w:spacing w:before="120" w:after="60" w:line="240" w:lineRule="auto"/>
        <w:ind w:left="-90" w:right="30"/>
        <w:jc w:val="both"/>
        <w:rPr>
          <w:rFonts w:ascii="Calibri" w:hAnsi="Calibri" w:cs="Calibri"/>
          <w:sz w:val="24"/>
          <w:szCs w:val="24"/>
        </w:rPr>
      </w:pPr>
      <w:r w:rsidRPr="002746B5">
        <w:rPr>
          <w:rFonts w:ascii="Calibri" w:hAnsi="Calibri" w:cs="Calibri"/>
          <w:sz w:val="24"/>
          <w:szCs w:val="24"/>
        </w:rPr>
        <w:t>The Cam</w:t>
      </w:r>
      <w:r>
        <w:rPr>
          <w:rFonts w:ascii="Calibri" w:hAnsi="Calibri" w:cs="Calibri"/>
          <w:sz w:val="24"/>
          <w:szCs w:val="24"/>
        </w:rPr>
        <w:t xml:space="preserve">bodia Nutrition Project (or hereafter CNP) – </w:t>
      </w:r>
      <w:r w:rsidRPr="002746B5">
        <w:rPr>
          <w:rFonts w:ascii="Calibri" w:hAnsi="Calibri" w:cs="Calibri"/>
          <w:sz w:val="24"/>
          <w:szCs w:val="24"/>
        </w:rPr>
        <w:t xml:space="preserve">II will provide additional resources to scale up activities implemented by </w:t>
      </w:r>
      <w:r>
        <w:rPr>
          <w:rFonts w:ascii="Calibri" w:hAnsi="Calibri" w:cs="Calibri"/>
          <w:sz w:val="24"/>
          <w:szCs w:val="24"/>
        </w:rPr>
        <w:t>the National Committee for Subnational Democratic Development Secretariat (</w:t>
      </w:r>
      <w:r w:rsidRPr="002746B5">
        <w:rPr>
          <w:rFonts w:ascii="Calibri" w:hAnsi="Calibri" w:cs="Calibri"/>
          <w:sz w:val="24"/>
          <w:szCs w:val="24"/>
        </w:rPr>
        <w:t>NCDDS</w:t>
      </w:r>
      <w:r>
        <w:rPr>
          <w:rFonts w:ascii="Calibri" w:hAnsi="Calibri" w:cs="Calibri"/>
          <w:sz w:val="24"/>
          <w:szCs w:val="24"/>
        </w:rPr>
        <w:t>)</w:t>
      </w:r>
      <w:r w:rsidRPr="002746B5">
        <w:rPr>
          <w:rFonts w:ascii="Calibri" w:hAnsi="Calibri" w:cs="Calibri"/>
          <w:sz w:val="24"/>
          <w:szCs w:val="24"/>
        </w:rPr>
        <w:t xml:space="preserve"> under the CNP-I</w:t>
      </w:r>
      <w:r>
        <w:rPr>
          <w:rFonts w:ascii="Calibri" w:hAnsi="Calibri" w:cs="Calibri"/>
          <w:sz w:val="24"/>
          <w:szCs w:val="24"/>
        </w:rPr>
        <w:t xml:space="preserve"> (P162</w:t>
      </w:r>
      <w:r w:rsidR="00A86D89">
        <w:rPr>
          <w:rFonts w:ascii="Calibri" w:hAnsi="Calibri" w:cs="Calibri"/>
          <w:sz w:val="24"/>
          <w:szCs w:val="24"/>
        </w:rPr>
        <w:t>67</w:t>
      </w:r>
      <w:r w:rsidR="0064324F">
        <w:rPr>
          <w:rFonts w:ascii="Calibri" w:hAnsi="Calibri" w:cs="Calibri"/>
          <w:sz w:val="24"/>
          <w:szCs w:val="24"/>
        </w:rPr>
        <w:t>5)</w:t>
      </w:r>
      <w:r w:rsidR="00EC350C">
        <w:rPr>
          <w:rFonts w:ascii="Calibri" w:hAnsi="Calibri" w:cs="Calibri"/>
          <w:sz w:val="24"/>
          <w:szCs w:val="24"/>
        </w:rPr>
        <w:t xml:space="preserve">. CNP-I was approved in April 2019 and includes financing amounting to US$53 million. </w:t>
      </w:r>
      <w:r w:rsidR="004716AD" w:rsidRPr="004716AD">
        <w:rPr>
          <w:rFonts w:ascii="Calibri" w:hAnsi="Calibri" w:cs="Calibri"/>
          <w:sz w:val="24"/>
          <w:szCs w:val="24"/>
        </w:rPr>
        <w:t>The project development objective (PDO)</w:t>
      </w:r>
      <w:r w:rsidR="004716AD">
        <w:rPr>
          <w:rFonts w:ascii="Calibri" w:hAnsi="Calibri" w:cs="Calibri"/>
          <w:sz w:val="24"/>
          <w:szCs w:val="24"/>
        </w:rPr>
        <w:t xml:space="preserve"> of CNP-I</w:t>
      </w:r>
      <w:r w:rsidR="004716AD" w:rsidRPr="004716AD">
        <w:rPr>
          <w:rFonts w:ascii="Calibri" w:hAnsi="Calibri" w:cs="Calibri"/>
          <w:sz w:val="24"/>
          <w:szCs w:val="24"/>
        </w:rPr>
        <w:t xml:space="preserve"> is t</w:t>
      </w:r>
      <w:r w:rsidR="004716AD">
        <w:rPr>
          <w:rFonts w:ascii="Calibri" w:hAnsi="Calibri" w:cs="Calibri"/>
          <w:sz w:val="24"/>
          <w:szCs w:val="24"/>
        </w:rPr>
        <w:t xml:space="preserve">o </w:t>
      </w:r>
      <w:r w:rsidR="004716AD" w:rsidRPr="004716AD">
        <w:rPr>
          <w:rFonts w:ascii="Calibri" w:hAnsi="Calibri" w:cs="Calibri"/>
          <w:sz w:val="24"/>
          <w:szCs w:val="24"/>
        </w:rPr>
        <w:t>improve utilization and quality of priority maternal and child health and nutrition services for targeted groups in Cambodia.</w:t>
      </w:r>
      <w:r w:rsidR="004716AD">
        <w:rPr>
          <w:rFonts w:ascii="Calibri" w:hAnsi="Calibri" w:cs="Calibri"/>
          <w:sz w:val="24"/>
          <w:szCs w:val="24"/>
        </w:rPr>
        <w:t xml:space="preserve"> </w:t>
      </w:r>
      <w:r w:rsidR="004716AD" w:rsidRPr="004716AD">
        <w:rPr>
          <w:rFonts w:ascii="Calibri" w:hAnsi="Calibri" w:cs="Calibri"/>
          <w:sz w:val="24"/>
          <w:szCs w:val="24"/>
        </w:rPr>
        <w:t xml:space="preserve">The CNP-I aims to improve utilization and quality of priority </w:t>
      </w:r>
      <w:r w:rsidR="00356BC6">
        <w:rPr>
          <w:rFonts w:ascii="Calibri" w:hAnsi="Calibri" w:cs="Calibri"/>
          <w:sz w:val="24"/>
          <w:szCs w:val="24"/>
        </w:rPr>
        <w:t>Maternal and Child Health Nutrition (</w:t>
      </w:r>
      <w:r w:rsidR="004716AD" w:rsidRPr="004716AD">
        <w:rPr>
          <w:rFonts w:ascii="Calibri" w:hAnsi="Calibri" w:cs="Calibri"/>
          <w:sz w:val="24"/>
          <w:szCs w:val="24"/>
        </w:rPr>
        <w:t>MCHN</w:t>
      </w:r>
      <w:r w:rsidR="00356BC6">
        <w:rPr>
          <w:rFonts w:ascii="Calibri" w:hAnsi="Calibri" w:cs="Calibri"/>
          <w:sz w:val="24"/>
          <w:szCs w:val="24"/>
        </w:rPr>
        <w:t>)</w:t>
      </w:r>
      <w:r w:rsidR="004716AD" w:rsidRPr="004716AD">
        <w:rPr>
          <w:rFonts w:ascii="Calibri" w:hAnsi="Calibri" w:cs="Calibri"/>
          <w:sz w:val="24"/>
          <w:szCs w:val="24"/>
        </w:rPr>
        <w:t xml:space="preserve"> services in the first 1,000 days of life in seven</w:t>
      </w:r>
      <w:r w:rsidR="004716AD">
        <w:rPr>
          <w:rFonts w:ascii="Calibri" w:hAnsi="Calibri" w:cs="Calibri"/>
          <w:sz w:val="24"/>
          <w:szCs w:val="24"/>
        </w:rPr>
        <w:t xml:space="preserve"> </w:t>
      </w:r>
      <w:r w:rsidR="004716AD" w:rsidRPr="004716AD">
        <w:rPr>
          <w:rFonts w:ascii="Calibri" w:hAnsi="Calibri" w:cs="Calibri"/>
          <w:sz w:val="24"/>
          <w:szCs w:val="24"/>
        </w:rPr>
        <w:t xml:space="preserve">provinces with lagging health and nutrition outcomes. In addition to increasing the access of poor households to </w:t>
      </w:r>
      <w:r w:rsidR="003A3CFD">
        <w:rPr>
          <w:rFonts w:ascii="Calibri" w:hAnsi="Calibri" w:cs="Calibri"/>
          <w:sz w:val="24"/>
          <w:szCs w:val="24"/>
        </w:rPr>
        <w:t>health services, the project</w:t>
      </w:r>
      <w:r w:rsidR="00534C0A">
        <w:rPr>
          <w:rFonts w:ascii="Calibri" w:hAnsi="Calibri" w:cs="Calibri"/>
          <w:sz w:val="24"/>
          <w:szCs w:val="24"/>
        </w:rPr>
        <w:t xml:space="preserve"> is designed to stimulate community demand and accountability by providing performance-based financing to local governments to implement a package of community-based </w:t>
      </w:r>
      <w:r w:rsidR="00356BC6">
        <w:rPr>
          <w:rFonts w:ascii="Calibri" w:hAnsi="Calibri" w:cs="Calibri"/>
          <w:sz w:val="24"/>
          <w:szCs w:val="24"/>
        </w:rPr>
        <w:t>MCHN services.</w:t>
      </w:r>
    </w:p>
    <w:p w14:paraId="65FBDC4A" w14:textId="4062A237" w:rsidR="0030729B" w:rsidRDefault="00016247" w:rsidP="002746B5">
      <w:pPr>
        <w:kinsoku w:val="0"/>
        <w:overflowPunct w:val="0"/>
        <w:autoSpaceDE w:val="0"/>
        <w:autoSpaceDN w:val="0"/>
        <w:adjustRightInd w:val="0"/>
        <w:spacing w:before="120" w:after="60" w:line="240" w:lineRule="auto"/>
        <w:ind w:left="-90" w:right="30"/>
        <w:jc w:val="both"/>
        <w:rPr>
          <w:rFonts w:ascii="Calibri" w:hAnsi="Calibri" w:cs="Calibri"/>
          <w:sz w:val="24"/>
          <w:szCs w:val="24"/>
        </w:rPr>
      </w:pPr>
      <w:r>
        <w:rPr>
          <w:rFonts w:ascii="Calibri" w:hAnsi="Calibri" w:cs="Calibri"/>
          <w:sz w:val="24"/>
          <w:szCs w:val="24"/>
        </w:rPr>
        <w:t>CNP-</w:t>
      </w:r>
      <w:r w:rsidR="00260552">
        <w:rPr>
          <w:rFonts w:ascii="Calibri" w:hAnsi="Calibri" w:cs="Calibri"/>
          <w:sz w:val="24"/>
          <w:szCs w:val="24"/>
        </w:rPr>
        <w:t xml:space="preserve">I includes </w:t>
      </w:r>
      <w:r w:rsidR="007A6E79">
        <w:rPr>
          <w:rFonts w:ascii="Calibri" w:hAnsi="Calibri" w:cs="Calibri"/>
          <w:sz w:val="24"/>
          <w:szCs w:val="24"/>
        </w:rPr>
        <w:t>three components, including</w:t>
      </w:r>
      <w:r w:rsidR="0080540D">
        <w:rPr>
          <w:rFonts w:ascii="Calibri" w:hAnsi="Calibri" w:cs="Calibri"/>
          <w:sz w:val="24"/>
          <w:szCs w:val="24"/>
        </w:rPr>
        <w:t xml:space="preserve"> </w:t>
      </w:r>
      <w:r w:rsidR="0080540D" w:rsidRPr="0080540D">
        <w:rPr>
          <w:rFonts w:ascii="Calibri" w:hAnsi="Calibri" w:cs="Calibri"/>
          <w:sz w:val="24"/>
          <w:szCs w:val="24"/>
        </w:rPr>
        <w:t>Component 1: Strengthening the Delivery of Priority Health Services (US$24</w:t>
      </w:r>
      <w:r w:rsidR="0080540D">
        <w:rPr>
          <w:rFonts w:ascii="Calibri" w:hAnsi="Calibri" w:cs="Calibri"/>
          <w:sz w:val="24"/>
          <w:szCs w:val="24"/>
        </w:rPr>
        <w:t xml:space="preserve"> </w:t>
      </w:r>
      <w:r w:rsidR="0080540D" w:rsidRPr="0080540D">
        <w:rPr>
          <w:rFonts w:ascii="Calibri" w:hAnsi="Calibri" w:cs="Calibri"/>
          <w:sz w:val="24"/>
          <w:szCs w:val="24"/>
        </w:rPr>
        <w:t>million), Component 2: Stimulating Demand and Accountability at the Community Level (US$10.8 million), and Component</w:t>
      </w:r>
      <w:r w:rsidR="0080540D">
        <w:rPr>
          <w:rFonts w:ascii="Calibri" w:hAnsi="Calibri" w:cs="Calibri"/>
          <w:sz w:val="24"/>
          <w:szCs w:val="24"/>
        </w:rPr>
        <w:t xml:space="preserve"> 3: </w:t>
      </w:r>
      <w:r w:rsidR="0080540D" w:rsidRPr="0080540D">
        <w:rPr>
          <w:rFonts w:ascii="Calibri" w:hAnsi="Calibri" w:cs="Calibri"/>
          <w:sz w:val="24"/>
          <w:szCs w:val="24"/>
        </w:rPr>
        <w:t>Ensuring an Effective and Sustainable Response (US$18.2 million). The project is implemented by two implementing</w:t>
      </w:r>
      <w:r w:rsidR="0080540D">
        <w:rPr>
          <w:rFonts w:ascii="Calibri" w:hAnsi="Calibri" w:cs="Calibri"/>
          <w:sz w:val="24"/>
          <w:szCs w:val="24"/>
        </w:rPr>
        <w:t xml:space="preserve"> </w:t>
      </w:r>
      <w:r w:rsidR="0080540D" w:rsidRPr="0080540D">
        <w:rPr>
          <w:rFonts w:ascii="Calibri" w:hAnsi="Calibri" w:cs="Calibri"/>
          <w:sz w:val="24"/>
          <w:szCs w:val="24"/>
        </w:rPr>
        <w:t>agencies</w:t>
      </w:r>
      <w:r w:rsidR="00082B21">
        <w:rPr>
          <w:rFonts w:ascii="Calibri" w:hAnsi="Calibri" w:cs="Calibri"/>
          <w:sz w:val="24"/>
          <w:szCs w:val="24"/>
        </w:rPr>
        <w:t>, including</w:t>
      </w:r>
      <w:r w:rsidR="0080540D" w:rsidRPr="0080540D">
        <w:rPr>
          <w:rFonts w:ascii="Calibri" w:hAnsi="Calibri" w:cs="Calibri"/>
          <w:sz w:val="24"/>
          <w:szCs w:val="24"/>
        </w:rPr>
        <w:t xml:space="preserve"> the M</w:t>
      </w:r>
      <w:r w:rsidR="00082B21">
        <w:rPr>
          <w:rFonts w:ascii="Calibri" w:hAnsi="Calibri" w:cs="Calibri"/>
          <w:sz w:val="24"/>
          <w:szCs w:val="24"/>
        </w:rPr>
        <w:t>inistry of Health (M</w:t>
      </w:r>
      <w:r w:rsidR="0080540D" w:rsidRPr="0080540D">
        <w:rPr>
          <w:rFonts w:ascii="Calibri" w:hAnsi="Calibri" w:cs="Calibri"/>
          <w:sz w:val="24"/>
          <w:szCs w:val="24"/>
        </w:rPr>
        <w:t>OH</w:t>
      </w:r>
      <w:r w:rsidR="00082B21">
        <w:rPr>
          <w:rFonts w:ascii="Calibri" w:hAnsi="Calibri" w:cs="Calibri"/>
          <w:sz w:val="24"/>
          <w:szCs w:val="24"/>
        </w:rPr>
        <w:t>)</w:t>
      </w:r>
      <w:r w:rsidR="0080540D" w:rsidRPr="0080540D">
        <w:rPr>
          <w:rFonts w:ascii="Calibri" w:hAnsi="Calibri" w:cs="Calibri"/>
          <w:sz w:val="24"/>
          <w:szCs w:val="24"/>
        </w:rPr>
        <w:t xml:space="preserve"> for Components 1 and 3 and the National Committee for Subnational Democratic Development-Secretariat (NCDDS) for Component 2.</w:t>
      </w:r>
    </w:p>
    <w:p w14:paraId="70E78358" w14:textId="29370BF6" w:rsidR="00D311F1" w:rsidRDefault="7A601C51" w:rsidP="008F32C5">
      <w:pPr>
        <w:kinsoku w:val="0"/>
        <w:overflowPunct w:val="0"/>
        <w:autoSpaceDE w:val="0"/>
        <w:autoSpaceDN w:val="0"/>
        <w:adjustRightInd w:val="0"/>
        <w:spacing w:before="120" w:after="60" w:line="240" w:lineRule="auto"/>
        <w:ind w:left="-90" w:right="30"/>
        <w:jc w:val="both"/>
        <w:rPr>
          <w:rFonts w:ascii="Calibri" w:hAnsi="Calibri" w:cs="Calibri"/>
          <w:sz w:val="24"/>
          <w:szCs w:val="24"/>
        </w:rPr>
      </w:pPr>
      <w:r w:rsidRPr="7B4010DD">
        <w:rPr>
          <w:rFonts w:ascii="Calibri" w:hAnsi="Calibri" w:cs="Calibri"/>
          <w:sz w:val="24"/>
          <w:szCs w:val="24"/>
        </w:rPr>
        <w:t>Cambodia’s subnational administration (SNA) system is currently being leveraged to improve health and</w:t>
      </w:r>
      <w:r w:rsidR="72F047D5" w:rsidRPr="7B4010DD">
        <w:rPr>
          <w:rFonts w:ascii="Calibri" w:hAnsi="Calibri" w:cs="Calibri"/>
          <w:sz w:val="24"/>
          <w:szCs w:val="24"/>
        </w:rPr>
        <w:t xml:space="preserve"> </w:t>
      </w:r>
      <w:r w:rsidRPr="7B4010DD">
        <w:rPr>
          <w:rFonts w:ascii="Calibri" w:hAnsi="Calibri" w:cs="Calibri"/>
          <w:sz w:val="24"/>
          <w:szCs w:val="24"/>
        </w:rPr>
        <w:t>nutrition outcomes</w:t>
      </w:r>
      <w:r w:rsidR="7F3CEEB8" w:rsidRPr="7B4010DD">
        <w:rPr>
          <w:rFonts w:ascii="Calibri" w:hAnsi="Calibri" w:cs="Calibri"/>
          <w:sz w:val="24"/>
          <w:szCs w:val="24"/>
        </w:rPr>
        <w:t>.</w:t>
      </w:r>
      <w:r w:rsidRPr="7B4010DD">
        <w:rPr>
          <w:rFonts w:ascii="Calibri" w:hAnsi="Calibri" w:cs="Calibri"/>
          <w:sz w:val="24"/>
          <w:szCs w:val="24"/>
        </w:rPr>
        <w:t xml:space="preserve"> Communes/</w:t>
      </w:r>
      <w:r w:rsidR="72F047D5" w:rsidRPr="7B4010DD">
        <w:rPr>
          <w:rFonts w:ascii="Calibri" w:hAnsi="Calibri" w:cs="Calibri"/>
          <w:sz w:val="24"/>
          <w:szCs w:val="24"/>
        </w:rPr>
        <w:t>S</w:t>
      </w:r>
      <w:r w:rsidRPr="7B4010DD">
        <w:rPr>
          <w:rFonts w:ascii="Calibri" w:hAnsi="Calibri" w:cs="Calibri"/>
          <w:sz w:val="24"/>
          <w:szCs w:val="24"/>
        </w:rPr>
        <w:t>angkats (C/S) are the lowest level of administrative structure and have the</w:t>
      </w:r>
      <w:r w:rsidR="72F047D5" w:rsidRPr="7B4010DD">
        <w:rPr>
          <w:rFonts w:ascii="Calibri" w:hAnsi="Calibri" w:cs="Calibri"/>
          <w:sz w:val="24"/>
          <w:szCs w:val="24"/>
        </w:rPr>
        <w:t xml:space="preserve"> </w:t>
      </w:r>
      <w:r w:rsidRPr="7B4010DD">
        <w:rPr>
          <w:rFonts w:ascii="Calibri" w:hAnsi="Calibri" w:cs="Calibri"/>
          <w:sz w:val="24"/>
          <w:szCs w:val="24"/>
        </w:rPr>
        <w:t>responsibility for identifying local needs through a C/S Investment Program process. Through their general mandate, C/S</w:t>
      </w:r>
      <w:r w:rsidR="72F047D5" w:rsidRPr="7B4010DD">
        <w:rPr>
          <w:rFonts w:ascii="Calibri" w:hAnsi="Calibri" w:cs="Calibri"/>
          <w:sz w:val="24"/>
          <w:szCs w:val="24"/>
        </w:rPr>
        <w:t xml:space="preserve"> </w:t>
      </w:r>
      <w:r w:rsidRPr="7B4010DD">
        <w:rPr>
          <w:rFonts w:ascii="Calibri" w:hAnsi="Calibri" w:cs="Calibri"/>
          <w:sz w:val="24"/>
          <w:szCs w:val="24"/>
        </w:rPr>
        <w:t>discretionary powers include social service (health, nutrition, and welfare) provision and social protection. C/S are</w:t>
      </w:r>
      <w:r w:rsidR="72F047D5" w:rsidRPr="7B4010DD">
        <w:rPr>
          <w:rFonts w:ascii="Calibri" w:hAnsi="Calibri" w:cs="Calibri"/>
          <w:sz w:val="24"/>
          <w:szCs w:val="24"/>
        </w:rPr>
        <w:t xml:space="preserve"> </w:t>
      </w:r>
      <w:r w:rsidRPr="7B4010DD">
        <w:rPr>
          <w:rFonts w:ascii="Calibri" w:hAnsi="Calibri" w:cs="Calibri"/>
          <w:sz w:val="24"/>
          <w:szCs w:val="24"/>
        </w:rPr>
        <w:t>generally funded through the C/S Investment Fund, an unconditional, mandatory, and steadily increasing grant from the</w:t>
      </w:r>
      <w:r w:rsidR="72F047D5" w:rsidRPr="7B4010DD">
        <w:rPr>
          <w:rFonts w:ascii="Calibri" w:hAnsi="Calibri" w:cs="Calibri"/>
          <w:sz w:val="24"/>
          <w:szCs w:val="24"/>
        </w:rPr>
        <w:t xml:space="preserve"> </w:t>
      </w:r>
      <w:r w:rsidRPr="7B4010DD">
        <w:rPr>
          <w:rFonts w:ascii="Calibri" w:hAnsi="Calibri" w:cs="Calibri"/>
          <w:sz w:val="24"/>
          <w:szCs w:val="24"/>
        </w:rPr>
        <w:t>central government budget. The C/S Fund includes a ‘development’ component (approximately one-third of the total</w:t>
      </w:r>
      <w:r w:rsidR="72F047D5" w:rsidRPr="7B4010DD">
        <w:rPr>
          <w:rFonts w:ascii="Calibri" w:hAnsi="Calibri" w:cs="Calibri"/>
          <w:sz w:val="24"/>
          <w:szCs w:val="24"/>
        </w:rPr>
        <w:t xml:space="preserve"> </w:t>
      </w:r>
      <w:r w:rsidRPr="7B4010DD">
        <w:rPr>
          <w:rFonts w:ascii="Calibri" w:hAnsi="Calibri" w:cs="Calibri"/>
          <w:sz w:val="24"/>
          <w:szCs w:val="24"/>
        </w:rPr>
        <w:t>fund) that finances projects outlined in the C/S Investment Program. While the general mandate of C/S covers a range of</w:t>
      </w:r>
      <w:r w:rsidR="72F047D5" w:rsidRPr="7B4010DD">
        <w:rPr>
          <w:rFonts w:ascii="Calibri" w:hAnsi="Calibri" w:cs="Calibri"/>
          <w:sz w:val="24"/>
          <w:szCs w:val="24"/>
        </w:rPr>
        <w:t xml:space="preserve"> </w:t>
      </w:r>
      <w:r w:rsidRPr="7B4010DD">
        <w:rPr>
          <w:rFonts w:ascii="Calibri" w:hAnsi="Calibri" w:cs="Calibri"/>
          <w:sz w:val="24"/>
          <w:szCs w:val="24"/>
        </w:rPr>
        <w:t>activities, C/S development funds have primarily been used for small infrastructure, while social services, social protection,</w:t>
      </w:r>
      <w:r w:rsidR="72F047D5" w:rsidRPr="7B4010DD">
        <w:rPr>
          <w:rFonts w:ascii="Calibri" w:hAnsi="Calibri" w:cs="Calibri"/>
          <w:sz w:val="24"/>
          <w:szCs w:val="24"/>
        </w:rPr>
        <w:t xml:space="preserve"> </w:t>
      </w:r>
      <w:r w:rsidRPr="7B4010DD">
        <w:rPr>
          <w:rFonts w:ascii="Calibri" w:hAnsi="Calibri" w:cs="Calibri"/>
          <w:sz w:val="24"/>
          <w:szCs w:val="24"/>
        </w:rPr>
        <w:t>and local economic development are relatively underfinanced. However, the RGC is working to improve the transparency</w:t>
      </w:r>
      <w:r w:rsidR="72F047D5" w:rsidRPr="7B4010DD">
        <w:rPr>
          <w:rFonts w:ascii="Calibri" w:hAnsi="Calibri" w:cs="Calibri"/>
          <w:sz w:val="24"/>
          <w:szCs w:val="24"/>
        </w:rPr>
        <w:t xml:space="preserve"> </w:t>
      </w:r>
      <w:r w:rsidRPr="7B4010DD">
        <w:rPr>
          <w:rFonts w:ascii="Calibri" w:hAnsi="Calibri" w:cs="Calibri"/>
          <w:sz w:val="24"/>
          <w:szCs w:val="24"/>
        </w:rPr>
        <w:t>and responsiveness of local services through the Implementation of the Social Accountability Framework (ISAF) and has</w:t>
      </w:r>
      <w:r w:rsidR="72F047D5" w:rsidRPr="7B4010DD">
        <w:rPr>
          <w:rFonts w:ascii="Calibri" w:hAnsi="Calibri" w:cs="Calibri"/>
          <w:sz w:val="24"/>
          <w:szCs w:val="24"/>
        </w:rPr>
        <w:t xml:space="preserve"> </w:t>
      </w:r>
      <w:r w:rsidRPr="7B4010DD">
        <w:rPr>
          <w:rFonts w:ascii="Calibri" w:hAnsi="Calibri" w:cs="Calibri"/>
          <w:sz w:val="24"/>
          <w:szCs w:val="24"/>
        </w:rPr>
        <w:t>plans to improve the transparency and performance of C/S through a performance grant pilot</w:t>
      </w:r>
      <w:r w:rsidR="72F047D5" w:rsidRPr="7B4010DD">
        <w:rPr>
          <w:rFonts w:ascii="Calibri" w:hAnsi="Calibri" w:cs="Calibri"/>
          <w:sz w:val="24"/>
          <w:szCs w:val="24"/>
        </w:rPr>
        <w:t xml:space="preserve"> </w:t>
      </w:r>
      <w:r w:rsidR="148242B0" w:rsidRPr="002746B5">
        <w:rPr>
          <w:rFonts w:ascii="Calibri" w:hAnsi="Calibri" w:cs="Calibri"/>
          <w:sz w:val="24"/>
          <w:szCs w:val="24"/>
        </w:rPr>
        <w:t>Components 2.1 and 2.3. The additional resources will be directed to: (a) support an extended time period for</w:t>
      </w:r>
      <w:r w:rsidR="31AD9220" w:rsidRPr="7B4010DD">
        <w:rPr>
          <w:rFonts w:ascii="Calibri" w:hAnsi="Calibri" w:cs="Calibri"/>
          <w:sz w:val="24"/>
          <w:szCs w:val="24"/>
        </w:rPr>
        <w:t xml:space="preserve"> </w:t>
      </w:r>
      <w:r w:rsidR="148242B0" w:rsidRPr="002746B5">
        <w:rPr>
          <w:rFonts w:ascii="Calibri" w:hAnsi="Calibri" w:cs="Calibri"/>
          <w:sz w:val="24"/>
          <w:szCs w:val="24"/>
        </w:rPr>
        <w:t>implementation; (b) expand geographic coverage of CNP’s community-based health and nutrition activities from the</w:t>
      </w:r>
      <w:r w:rsidR="31AD9220" w:rsidRPr="7B4010DD">
        <w:rPr>
          <w:rFonts w:ascii="Calibri" w:hAnsi="Calibri" w:cs="Calibri"/>
          <w:sz w:val="24"/>
          <w:szCs w:val="24"/>
        </w:rPr>
        <w:t xml:space="preserve"> </w:t>
      </w:r>
      <w:r w:rsidR="148242B0" w:rsidRPr="002746B5">
        <w:rPr>
          <w:rFonts w:ascii="Calibri" w:hAnsi="Calibri" w:cs="Calibri"/>
          <w:sz w:val="24"/>
          <w:szCs w:val="24"/>
        </w:rPr>
        <w:t xml:space="preserve">original seven priority provinces to an additional </w:t>
      </w:r>
      <w:r w:rsidR="004308D6">
        <w:rPr>
          <w:rFonts w:ascii="Calibri" w:hAnsi="Calibri" w:cs="Calibri"/>
          <w:sz w:val="24"/>
          <w:szCs w:val="24"/>
        </w:rPr>
        <w:t>two</w:t>
      </w:r>
      <w:r w:rsidR="148242B0" w:rsidRPr="002746B5">
        <w:rPr>
          <w:rFonts w:ascii="Calibri" w:hAnsi="Calibri" w:cs="Calibri"/>
          <w:sz w:val="24"/>
          <w:szCs w:val="24"/>
        </w:rPr>
        <w:t xml:space="preserve"> new provinces; and (c) select project management costs and new</w:t>
      </w:r>
      <w:r w:rsidR="31AD9220" w:rsidRPr="7B4010DD">
        <w:rPr>
          <w:rFonts w:ascii="Calibri" w:hAnsi="Calibri" w:cs="Calibri"/>
          <w:sz w:val="24"/>
          <w:szCs w:val="24"/>
        </w:rPr>
        <w:t xml:space="preserve"> </w:t>
      </w:r>
      <w:r w:rsidR="148242B0" w:rsidRPr="002746B5">
        <w:rPr>
          <w:rFonts w:ascii="Calibri" w:hAnsi="Calibri" w:cs="Calibri"/>
          <w:sz w:val="24"/>
          <w:szCs w:val="24"/>
        </w:rPr>
        <w:t>goods and services procurements to accommodate the COVID-19 context</w:t>
      </w:r>
      <w:r w:rsidR="56350B2E" w:rsidRPr="7B4010DD">
        <w:rPr>
          <w:rFonts w:ascii="Calibri" w:hAnsi="Calibri" w:cs="Calibri"/>
          <w:sz w:val="24"/>
          <w:szCs w:val="24"/>
        </w:rPr>
        <w:t>.</w:t>
      </w:r>
    </w:p>
    <w:p w14:paraId="55A64FDA" w14:textId="4D8324EA" w:rsidR="00A80071" w:rsidRDefault="00A80071" w:rsidP="002746B5">
      <w:pPr>
        <w:kinsoku w:val="0"/>
        <w:overflowPunct w:val="0"/>
        <w:autoSpaceDE w:val="0"/>
        <w:autoSpaceDN w:val="0"/>
        <w:adjustRightInd w:val="0"/>
        <w:spacing w:before="120" w:after="60" w:line="240" w:lineRule="auto"/>
        <w:ind w:left="-90" w:right="30"/>
        <w:jc w:val="both"/>
        <w:rPr>
          <w:rFonts w:ascii="Calibri" w:hAnsi="Calibri" w:cs="Calibri"/>
          <w:sz w:val="24"/>
          <w:szCs w:val="24"/>
        </w:rPr>
      </w:pPr>
      <w:r w:rsidRPr="00A80071">
        <w:rPr>
          <w:rFonts w:ascii="Calibri" w:hAnsi="Calibri" w:cs="Calibri"/>
          <w:sz w:val="24"/>
          <w:szCs w:val="24"/>
        </w:rPr>
        <w:t>The CNP-I was approved under the Safeguards Policies and</w:t>
      </w:r>
      <w:r>
        <w:rPr>
          <w:rFonts w:ascii="Calibri" w:hAnsi="Calibri" w:cs="Calibri"/>
          <w:sz w:val="24"/>
          <w:szCs w:val="24"/>
        </w:rPr>
        <w:t xml:space="preserve"> </w:t>
      </w:r>
      <w:r w:rsidRPr="00A80071">
        <w:rPr>
          <w:rFonts w:ascii="Calibri" w:hAnsi="Calibri" w:cs="Calibri"/>
          <w:sz w:val="24"/>
          <w:szCs w:val="24"/>
        </w:rPr>
        <w:t>is no longer eligible for additional financing for scale-up. Th</w:t>
      </w:r>
      <w:r>
        <w:rPr>
          <w:rFonts w:ascii="Calibri" w:hAnsi="Calibri" w:cs="Calibri"/>
          <w:sz w:val="24"/>
          <w:szCs w:val="24"/>
        </w:rPr>
        <w:t>e CNP-II is being</w:t>
      </w:r>
      <w:r w:rsidRPr="00A80071">
        <w:rPr>
          <w:rFonts w:ascii="Calibri" w:hAnsi="Calibri" w:cs="Calibri"/>
          <w:sz w:val="24"/>
          <w:szCs w:val="24"/>
        </w:rPr>
        <w:t xml:space="preserve"> prepared under the ESF </w:t>
      </w:r>
      <w:r>
        <w:rPr>
          <w:rFonts w:ascii="Calibri" w:hAnsi="Calibri" w:cs="Calibri"/>
          <w:sz w:val="24"/>
          <w:szCs w:val="24"/>
        </w:rPr>
        <w:t xml:space="preserve">as a separate operation </w:t>
      </w:r>
      <w:r w:rsidRPr="00A80071">
        <w:rPr>
          <w:rFonts w:ascii="Calibri" w:hAnsi="Calibri" w:cs="Calibri"/>
          <w:sz w:val="24"/>
          <w:szCs w:val="24"/>
        </w:rPr>
        <w:t>and will provide</w:t>
      </w:r>
      <w:r>
        <w:rPr>
          <w:rFonts w:ascii="Calibri" w:hAnsi="Calibri" w:cs="Calibri"/>
          <w:sz w:val="24"/>
          <w:szCs w:val="24"/>
        </w:rPr>
        <w:t xml:space="preserve"> </w:t>
      </w:r>
      <w:r w:rsidRPr="00A80071">
        <w:rPr>
          <w:rFonts w:ascii="Calibri" w:hAnsi="Calibri" w:cs="Calibri"/>
          <w:sz w:val="24"/>
          <w:szCs w:val="24"/>
        </w:rPr>
        <w:t>more robust support for implementing and monitoring of the environmental and social commitments</w:t>
      </w:r>
      <w:r>
        <w:rPr>
          <w:rFonts w:ascii="Calibri" w:hAnsi="Calibri" w:cs="Calibri"/>
          <w:sz w:val="24"/>
          <w:szCs w:val="24"/>
        </w:rPr>
        <w:t>.</w:t>
      </w:r>
    </w:p>
    <w:p w14:paraId="012B1B7B" w14:textId="6C952DF6" w:rsidR="004F3D17" w:rsidRDefault="392539BB" w:rsidP="002746B5">
      <w:pPr>
        <w:kinsoku w:val="0"/>
        <w:overflowPunct w:val="0"/>
        <w:autoSpaceDE w:val="0"/>
        <w:autoSpaceDN w:val="0"/>
        <w:adjustRightInd w:val="0"/>
        <w:spacing w:before="120" w:after="60" w:line="240" w:lineRule="auto"/>
        <w:ind w:left="-90" w:right="30"/>
        <w:jc w:val="both"/>
        <w:rPr>
          <w:rFonts w:ascii="Calibri" w:hAnsi="Calibri" w:cs="Calibri"/>
          <w:sz w:val="24"/>
          <w:szCs w:val="24"/>
        </w:rPr>
      </w:pPr>
      <w:r w:rsidRPr="7B4010DD">
        <w:rPr>
          <w:rFonts w:ascii="Calibri" w:hAnsi="Calibri" w:cs="Calibri"/>
          <w:sz w:val="24"/>
          <w:szCs w:val="24"/>
        </w:rPr>
        <w:lastRenderedPageBreak/>
        <w:t xml:space="preserve">The PDO under CNP-II remains the same. </w:t>
      </w:r>
      <w:r w:rsidR="7E3E5B39" w:rsidRPr="7B4010DD">
        <w:rPr>
          <w:rFonts w:ascii="Calibri" w:hAnsi="Calibri" w:cs="Calibri"/>
          <w:sz w:val="24"/>
          <w:szCs w:val="24"/>
        </w:rPr>
        <w:t>The proposed CNP-ll</w:t>
      </w:r>
      <w:r w:rsidR="19FB6FBE" w:rsidRPr="7B4010DD">
        <w:rPr>
          <w:rFonts w:ascii="Calibri" w:hAnsi="Calibri" w:cs="Calibri"/>
          <w:sz w:val="24"/>
          <w:szCs w:val="24"/>
        </w:rPr>
        <w:t xml:space="preserve"> will finance the</w:t>
      </w:r>
      <w:r w:rsidR="7E3E5B39" w:rsidRPr="7B4010DD">
        <w:rPr>
          <w:rFonts w:ascii="Calibri" w:hAnsi="Calibri" w:cs="Calibri"/>
          <w:sz w:val="24"/>
          <w:szCs w:val="24"/>
        </w:rPr>
        <w:t xml:space="preserve"> delivery of the C/S SDG</w:t>
      </w:r>
      <w:r w:rsidR="0FA2761A" w:rsidRPr="7B4010DD">
        <w:rPr>
          <w:rFonts w:ascii="Calibri" w:hAnsi="Calibri" w:cs="Calibri"/>
          <w:sz w:val="24"/>
          <w:szCs w:val="24"/>
        </w:rPr>
        <w:t xml:space="preserve"> with the</w:t>
      </w:r>
      <w:r w:rsidR="7E3E5B39" w:rsidRPr="7B4010DD">
        <w:rPr>
          <w:rFonts w:ascii="Calibri" w:hAnsi="Calibri" w:cs="Calibri"/>
          <w:sz w:val="24"/>
          <w:szCs w:val="24"/>
        </w:rPr>
        <w:t xml:space="preserve"> aim to strengthen capacities of local authorities/CPWC to promote citizens’ behavioral changes; and to stimulate demand</w:t>
      </w:r>
      <w:r w:rsidR="18DF14AE" w:rsidRPr="7B4010DD">
        <w:rPr>
          <w:rFonts w:ascii="Calibri" w:hAnsi="Calibri" w:cs="Calibri"/>
          <w:sz w:val="24"/>
          <w:szCs w:val="24"/>
        </w:rPr>
        <w:t xml:space="preserve"> for and</w:t>
      </w:r>
      <w:r w:rsidR="7E3E5B39" w:rsidRPr="7B4010DD">
        <w:rPr>
          <w:rFonts w:ascii="Calibri" w:hAnsi="Calibri" w:cs="Calibri"/>
          <w:sz w:val="24"/>
          <w:szCs w:val="24"/>
        </w:rPr>
        <w:t xml:space="preserve"> increase utilization of facility-based priority services, and encourage the adoption of improved Reproductive, Maternal, Newborn, Child and Adolescent Health and Nutrition (RMNCAH-N) behaviors. </w:t>
      </w:r>
      <w:r w:rsidR="7F52BFFA" w:rsidRPr="7B4010DD">
        <w:rPr>
          <w:rFonts w:ascii="Calibri" w:hAnsi="Calibri" w:cs="Calibri"/>
          <w:sz w:val="24"/>
          <w:szCs w:val="24"/>
        </w:rPr>
        <w:t>These priority services are aimed at reducing neonatal mortality, improving maternal and child nutrition, and improving routine immunization coverage</w:t>
      </w:r>
      <w:r w:rsidR="4A285022" w:rsidRPr="7B4010DD">
        <w:rPr>
          <w:rFonts w:ascii="Calibri" w:hAnsi="Calibri" w:cs="Calibri"/>
          <w:sz w:val="24"/>
          <w:szCs w:val="24"/>
        </w:rPr>
        <w:t>.</w:t>
      </w:r>
      <w:r w:rsidR="1C222EF3" w:rsidRPr="7B4010DD">
        <w:rPr>
          <w:rFonts w:ascii="Calibri" w:hAnsi="Calibri" w:cs="Calibri"/>
          <w:sz w:val="24"/>
          <w:szCs w:val="24"/>
        </w:rPr>
        <w:t xml:space="preserve"> The priority services were defined in accordance with the expectation of the </w:t>
      </w:r>
      <w:r w:rsidR="4E02538E" w:rsidRPr="7B4010DD">
        <w:rPr>
          <w:rFonts w:ascii="Calibri" w:hAnsi="Calibri" w:cs="Calibri"/>
          <w:sz w:val="24"/>
          <w:szCs w:val="24"/>
        </w:rPr>
        <w:t xml:space="preserve">Royal Government of Cambodia (or hereafter </w:t>
      </w:r>
      <w:r w:rsidR="1C222EF3" w:rsidRPr="7B4010DD">
        <w:rPr>
          <w:rFonts w:ascii="Calibri" w:hAnsi="Calibri" w:cs="Calibri"/>
          <w:sz w:val="24"/>
          <w:szCs w:val="24"/>
        </w:rPr>
        <w:t>RGC</w:t>
      </w:r>
      <w:r w:rsidR="4E02538E" w:rsidRPr="7B4010DD">
        <w:rPr>
          <w:rFonts w:ascii="Calibri" w:hAnsi="Calibri" w:cs="Calibri"/>
          <w:sz w:val="24"/>
          <w:szCs w:val="24"/>
        </w:rPr>
        <w:t>)</w:t>
      </w:r>
      <w:r w:rsidR="1C222EF3" w:rsidRPr="7B4010DD">
        <w:rPr>
          <w:rFonts w:ascii="Calibri" w:hAnsi="Calibri" w:cs="Calibri"/>
          <w:sz w:val="24"/>
          <w:szCs w:val="24"/>
        </w:rPr>
        <w:t xml:space="preserve"> to converge on interventions with known effectiveness to increase</w:t>
      </w:r>
      <w:r w:rsidR="6100EA2F" w:rsidRPr="7B4010DD">
        <w:rPr>
          <w:rFonts w:ascii="Calibri" w:hAnsi="Calibri" w:cs="Calibri"/>
          <w:sz w:val="24"/>
          <w:szCs w:val="24"/>
        </w:rPr>
        <w:t xml:space="preserve"> </w:t>
      </w:r>
      <w:r w:rsidR="1C222EF3" w:rsidRPr="7B4010DD">
        <w:rPr>
          <w:rFonts w:ascii="Calibri" w:hAnsi="Calibri" w:cs="Calibri"/>
          <w:sz w:val="24"/>
          <w:szCs w:val="24"/>
        </w:rPr>
        <w:t xml:space="preserve">sustainability and efficiency of RMNCAH-N financing. </w:t>
      </w:r>
      <w:r w:rsidR="1C222EF3" w:rsidRPr="002746B5">
        <w:rPr>
          <w:rFonts w:ascii="Calibri" w:hAnsi="Calibri" w:cs="Calibri"/>
          <w:b/>
          <w:bCs/>
          <w:sz w:val="24"/>
          <w:szCs w:val="24"/>
        </w:rPr>
        <w:t>CNP-II will finance community-based promotion elements of these</w:t>
      </w:r>
      <w:r w:rsidR="6100EA2F" w:rsidRPr="002746B5">
        <w:rPr>
          <w:rFonts w:ascii="Calibri" w:hAnsi="Calibri" w:cs="Calibri"/>
          <w:b/>
          <w:bCs/>
          <w:sz w:val="24"/>
          <w:szCs w:val="24"/>
        </w:rPr>
        <w:t xml:space="preserve"> </w:t>
      </w:r>
      <w:r w:rsidR="1C222EF3" w:rsidRPr="002746B5">
        <w:rPr>
          <w:rFonts w:ascii="Calibri" w:hAnsi="Calibri" w:cs="Calibri"/>
          <w:b/>
          <w:bCs/>
          <w:sz w:val="24"/>
          <w:szCs w:val="24"/>
        </w:rPr>
        <w:t>services, rather than direct service provision through health facilities</w:t>
      </w:r>
      <w:r w:rsidR="1C222EF3" w:rsidRPr="7B4010DD">
        <w:rPr>
          <w:rFonts w:ascii="Calibri" w:hAnsi="Calibri" w:cs="Calibri"/>
          <w:sz w:val="24"/>
          <w:szCs w:val="24"/>
        </w:rPr>
        <w:t>.</w:t>
      </w:r>
      <w:r w:rsidR="7319DF11" w:rsidRPr="7B4010DD">
        <w:rPr>
          <w:rFonts w:ascii="Calibri" w:hAnsi="Calibri" w:cs="Calibri"/>
          <w:sz w:val="24"/>
          <w:szCs w:val="24"/>
        </w:rPr>
        <w:t xml:space="preserve"> </w:t>
      </w:r>
      <w:r w:rsidR="28777D4C" w:rsidRPr="7B4010DD">
        <w:rPr>
          <w:rFonts w:ascii="Calibri" w:hAnsi="Calibri" w:cs="Calibri"/>
          <w:sz w:val="24"/>
          <w:szCs w:val="24"/>
        </w:rPr>
        <w:t xml:space="preserve"> </w:t>
      </w:r>
      <w:r w:rsidR="573D3D26" w:rsidRPr="7B4010DD">
        <w:rPr>
          <w:rFonts w:ascii="Calibri" w:hAnsi="Calibri" w:cs="Calibri"/>
          <w:sz w:val="24"/>
          <w:szCs w:val="24"/>
        </w:rPr>
        <w:t>Specifically, CNP-II will be implemented</w:t>
      </w:r>
      <w:r w:rsidR="20EB0C7E" w:rsidRPr="7B4010DD">
        <w:rPr>
          <w:rFonts w:ascii="Calibri" w:hAnsi="Calibri" w:cs="Calibri"/>
          <w:sz w:val="24"/>
          <w:szCs w:val="24"/>
        </w:rPr>
        <w:t xml:space="preserve"> by NCDDS</w:t>
      </w:r>
      <w:r w:rsidR="573D3D26" w:rsidRPr="7B4010DD">
        <w:rPr>
          <w:rFonts w:ascii="Calibri" w:hAnsi="Calibri" w:cs="Calibri"/>
          <w:sz w:val="24"/>
          <w:szCs w:val="24"/>
        </w:rPr>
        <w:t xml:space="preserve"> across two components to mirror the activities supported by CNP-I services, the project is designed to stimulate community demand and accountability by providing performance-based financing to local governments to implement a package of community-based MCHN services.</w:t>
      </w:r>
    </w:p>
    <w:p w14:paraId="3A35D41D" w14:textId="771B2520" w:rsidR="008F32C5" w:rsidRDefault="6B33D2F3" w:rsidP="002746B5">
      <w:pPr>
        <w:kinsoku w:val="0"/>
        <w:overflowPunct w:val="0"/>
        <w:autoSpaceDE w:val="0"/>
        <w:autoSpaceDN w:val="0"/>
        <w:adjustRightInd w:val="0"/>
        <w:spacing w:before="120" w:after="60" w:line="240" w:lineRule="auto"/>
        <w:ind w:left="-90" w:right="30"/>
        <w:jc w:val="both"/>
        <w:rPr>
          <w:b/>
          <w:bCs/>
          <w:sz w:val="24"/>
          <w:szCs w:val="24"/>
        </w:rPr>
      </w:pPr>
      <w:r w:rsidRPr="7B4010DD">
        <w:rPr>
          <w:rFonts w:ascii="Calibri" w:hAnsi="Calibri" w:cs="Calibri"/>
          <w:sz w:val="24"/>
          <w:szCs w:val="24"/>
        </w:rPr>
        <w:t xml:space="preserve">Targeted groups include pregnant and lactating women and children in the first 1,000 days of life in the targeted provinces: seven provinces already covered by CNP-I plus additional </w:t>
      </w:r>
      <w:r w:rsidR="004308D6">
        <w:rPr>
          <w:rFonts w:ascii="Calibri" w:hAnsi="Calibri" w:cs="Calibri"/>
          <w:sz w:val="24"/>
          <w:szCs w:val="24"/>
        </w:rPr>
        <w:t>two</w:t>
      </w:r>
      <w:r w:rsidRPr="7B4010DD">
        <w:rPr>
          <w:rFonts w:ascii="Calibri" w:hAnsi="Calibri" w:cs="Calibri"/>
          <w:sz w:val="24"/>
          <w:szCs w:val="24"/>
        </w:rPr>
        <w:t xml:space="preserve"> new provinces. The original seven provinces were prioritized in the RMNCAH-N Investment Case due to their high burden (in absolute and relative terms) of lagging health outcomes, their relatively high deprivation using multidimensional poverty indicators, and their gaps in supply-side service readiness. CNP-II activities will be implemented across the original seven and new (2) target provinces.</w:t>
      </w:r>
      <w:r w:rsidR="3509BCE9" w:rsidRPr="7B4010DD">
        <w:rPr>
          <w:rFonts w:ascii="Calibri" w:hAnsi="Calibri" w:cs="Calibri"/>
          <w:sz w:val="24"/>
          <w:szCs w:val="24"/>
        </w:rPr>
        <w:t xml:space="preserve"> </w:t>
      </w:r>
      <w:r w:rsidR="041A72D8" w:rsidRPr="7B4010DD">
        <w:rPr>
          <w:rFonts w:ascii="Calibri" w:hAnsi="Calibri" w:cs="Calibri"/>
          <w:sz w:val="24"/>
          <w:szCs w:val="24"/>
        </w:rPr>
        <w:t>S</w:t>
      </w:r>
      <w:r w:rsidR="3509BCE9" w:rsidRPr="7B4010DD">
        <w:rPr>
          <w:rFonts w:ascii="Calibri" w:hAnsi="Calibri" w:cs="Calibri"/>
          <w:sz w:val="24"/>
          <w:szCs w:val="24"/>
        </w:rPr>
        <w:t>election criteria for additional provinces include those used in CNP-I focused on burden of health and nutrition issues and gaps in the supply side response; the MOH and NCDDS have also requested to prioritize provinces with urgent needs due to the COVID-19 crisis and where they can capitalize on the accelerated rollout of Cambodia’s Decentralization and Deconcentration Process. The MOH and NCDDS jointly agree</w:t>
      </w:r>
      <w:r w:rsidR="00ED5DE1">
        <w:rPr>
          <w:rFonts w:ascii="Calibri" w:hAnsi="Calibri" w:cs="Calibri"/>
          <w:sz w:val="24"/>
          <w:szCs w:val="24"/>
        </w:rPr>
        <w:t>d</w:t>
      </w:r>
      <w:r w:rsidR="3509BCE9" w:rsidRPr="7B4010DD">
        <w:rPr>
          <w:rFonts w:ascii="Calibri" w:hAnsi="Calibri" w:cs="Calibri"/>
          <w:sz w:val="24"/>
          <w:szCs w:val="24"/>
        </w:rPr>
        <w:t xml:space="preserve"> on the selected provinces</w:t>
      </w:r>
      <w:r w:rsidR="57B7C6AD" w:rsidRPr="7B4010DD">
        <w:rPr>
          <w:rFonts w:ascii="Calibri" w:hAnsi="Calibri" w:cs="Calibri"/>
          <w:sz w:val="24"/>
          <w:szCs w:val="24"/>
        </w:rPr>
        <w:t>. CNP-II is org</w:t>
      </w:r>
      <w:r w:rsidR="78D18D58" w:rsidRPr="7B4010DD">
        <w:rPr>
          <w:rFonts w:ascii="Calibri" w:hAnsi="Calibri" w:cs="Calibri"/>
          <w:sz w:val="24"/>
          <w:szCs w:val="24"/>
        </w:rPr>
        <w:t>anized along</w:t>
      </w:r>
      <w:bookmarkStart w:id="3" w:name="_bookmark2"/>
      <w:bookmarkStart w:id="4" w:name="_Hlk25743274"/>
      <w:bookmarkStart w:id="5" w:name="_bookmark3"/>
      <w:bookmarkEnd w:id="3"/>
      <w:bookmarkEnd w:id="4"/>
      <w:bookmarkEnd w:id="5"/>
      <w:r w:rsidR="00812BF5" w:rsidRPr="00CE606A">
        <w:rPr>
          <w:sz w:val="24"/>
          <w:szCs w:val="24"/>
        </w:rPr>
        <w:t xml:space="preserve"> the following components</w:t>
      </w:r>
      <w:r w:rsidR="00812BF5" w:rsidRPr="00CE606A">
        <w:rPr>
          <w:rFonts w:eastAsiaTheme="minorEastAsia"/>
          <w:sz w:val="24"/>
          <w:szCs w:val="24"/>
        </w:rPr>
        <w:t>:</w:t>
      </w:r>
    </w:p>
    <w:p w14:paraId="7CA4339E" w14:textId="2A4DF171" w:rsidR="007A1529" w:rsidRDefault="3F4515EF" w:rsidP="002746B5">
      <w:pPr>
        <w:pStyle w:val="ListParagraph"/>
        <w:numPr>
          <w:ilvl w:val="0"/>
          <w:numId w:val="57"/>
        </w:numPr>
        <w:tabs>
          <w:tab w:val="left" w:pos="720"/>
        </w:tabs>
        <w:spacing w:before="120" w:after="60"/>
        <w:ind w:left="270" w:right="30"/>
        <w:jc w:val="both"/>
      </w:pPr>
      <w:r w:rsidRPr="008F32C5">
        <w:rPr>
          <w:b/>
          <w:bCs/>
        </w:rPr>
        <w:t xml:space="preserve">Component 1: Commune/Sangkat (C/S) Service Delivery Grants (C/S-SDGs) for Women and Children (US$8.5 million). </w:t>
      </w:r>
      <w:r w:rsidRPr="008F32C5">
        <w:t>The component will finance the implementation of activities defined under Component 2.1 of CNP-I</w:t>
      </w:r>
      <w:r w:rsidR="00E42302">
        <w:rPr>
          <w:rStyle w:val="FootnoteReference"/>
        </w:rPr>
        <w:footnoteReference w:id="1"/>
      </w:r>
      <w:r w:rsidRPr="008F32C5">
        <w:t xml:space="preserve"> in the original seven provinces plus the additional 2 upon full disbursement of funds allocated under Component 2.1 of CNP-I in these provinces. This is anticipated for the calendar years 2023-2025. The aim of the component is to reduce fragmentation and increase the sustainability of community health and nutrition activities by operationalizing a </w:t>
      </w:r>
      <w:r w:rsidR="431F671E">
        <w:t>Commune Program for Women and Children (</w:t>
      </w:r>
      <w:r w:rsidRPr="008F32C5">
        <w:t>CPWC</w:t>
      </w:r>
      <w:r w:rsidR="431F671E">
        <w:t>)</w:t>
      </w:r>
      <w:r w:rsidR="00812BF5" w:rsidRPr="00CE606A">
        <w:rPr>
          <w:rStyle w:val="FootnoteReference"/>
        </w:rPr>
        <w:footnoteReference w:id="2"/>
      </w:r>
      <w:r w:rsidRPr="008F32C5">
        <w:t xml:space="preserve"> to serve as the community-based health and nutrition platform (with formal links between the SNA and health sector actors). </w:t>
      </w:r>
      <w:r w:rsidR="00C534D7">
        <w:t>Two main interventions under Component 1 include:</w:t>
      </w:r>
    </w:p>
    <w:p w14:paraId="121A7D81" w14:textId="7B4DB153" w:rsidR="00C534D7" w:rsidRDefault="00C534D7" w:rsidP="00BC1439">
      <w:pPr>
        <w:pStyle w:val="ListParagraph"/>
        <w:tabs>
          <w:tab w:val="left" w:pos="720"/>
        </w:tabs>
        <w:spacing w:before="120" w:after="60"/>
        <w:ind w:left="0" w:right="30" w:firstLine="0"/>
        <w:jc w:val="both"/>
      </w:pPr>
      <w:r w:rsidRPr="002746B5">
        <w:rPr>
          <w:b/>
          <w:bCs/>
        </w:rPr>
        <w:t>C/S-Service Delivery Grants</w:t>
      </w:r>
      <w:r>
        <w:t>: t</w:t>
      </w:r>
      <w:r w:rsidRPr="00C534D7">
        <w:t>he component finances C/S to deliver the CPWC package of health, nutrition, and HEF promotion activities using the performance-based C/S-</w:t>
      </w:r>
      <w:r w:rsidR="00C270FB">
        <w:t>Service Delivery Grant (</w:t>
      </w:r>
      <w:r w:rsidRPr="00C534D7">
        <w:t>SDG</w:t>
      </w:r>
      <w:r w:rsidR="00C270FB">
        <w:t>)</w:t>
      </w:r>
      <w:r w:rsidRPr="00C534D7">
        <w:t xml:space="preserve"> grant. The grant adapts the successful MOH SDG system and applies the principle to the SNA. C/S-SDG will provide discretionary support to C/S over and above </w:t>
      </w:r>
      <w:r w:rsidRPr="00C534D7">
        <w:lastRenderedPageBreak/>
        <w:t>the C/S Fund to ensure the delivery of activities according to the CPWC guideline. The financing formula is outlined in the C/S-SDG Operation Manual</w:t>
      </w:r>
      <w:r w:rsidR="00E75A0D">
        <w:t xml:space="preserve"> (OM)</w:t>
      </w:r>
      <w:r w:rsidR="00ED5DE1">
        <w:t>, annual instruction,</w:t>
      </w:r>
      <w:r w:rsidRPr="00C534D7">
        <w:t xml:space="preserve"> and based on quantity (commune size) and quality (performance on a C/S-SDG checklist). The financial management, procurement, and environmental and social considerations of grant execution are also outlined in the C/S-SDG OM. Eligible expenditure includes activities such as: (a) performance incentives to C/S key actors, including C/S chief, C/S deputy chief, C/S clerk, WC-FP, Village chief, village vice chief/assistance and VHSG; and (b) CPWC operational cost and other activities. Commune performance on C/S-SDGs will be systematically assessed through semiannual assessment by a district</w:t>
      </w:r>
      <w:r w:rsidR="00ED5DE1">
        <w:t>/municipal</w:t>
      </w:r>
      <w:r w:rsidRPr="00C534D7">
        <w:t xml:space="preserve"> assessment team.</w:t>
      </w:r>
    </w:p>
    <w:p w14:paraId="7E9F68C0" w14:textId="259CB462" w:rsidR="003A2DA6" w:rsidRDefault="64C88533" w:rsidP="00BC1439">
      <w:pPr>
        <w:pStyle w:val="ListParagraph"/>
        <w:tabs>
          <w:tab w:val="left" w:pos="720"/>
        </w:tabs>
        <w:spacing w:before="120" w:after="60"/>
        <w:ind w:left="0" w:right="30" w:firstLine="0"/>
        <w:jc w:val="both"/>
      </w:pPr>
      <w:r w:rsidRPr="002746B5">
        <w:rPr>
          <w:b/>
          <w:bCs/>
        </w:rPr>
        <w:t>SDGs to D</w:t>
      </w:r>
      <w:r w:rsidR="38D1517A" w:rsidRPr="7B4010DD">
        <w:rPr>
          <w:b/>
          <w:bCs/>
        </w:rPr>
        <w:t>istrict/</w:t>
      </w:r>
      <w:r w:rsidRPr="002746B5">
        <w:rPr>
          <w:b/>
          <w:bCs/>
        </w:rPr>
        <w:t>M</w:t>
      </w:r>
      <w:r w:rsidR="38D1517A" w:rsidRPr="7B4010DD">
        <w:rPr>
          <w:b/>
          <w:bCs/>
        </w:rPr>
        <w:t>unicipal</w:t>
      </w:r>
      <w:r w:rsidRPr="002746B5">
        <w:rPr>
          <w:b/>
          <w:bCs/>
        </w:rPr>
        <w:t xml:space="preserve"> Administration</w:t>
      </w:r>
      <w:r>
        <w:t xml:space="preserve">. These C/S-SDGs aim to strengthen the performance of District/Municipal Administration (DMA) conducting the C/S-SDG assessment process. The C/S-SDG assessment is outlined in the C/S-SDG </w:t>
      </w:r>
      <w:r w:rsidR="00ED5DE1">
        <w:t xml:space="preserve">Assessment </w:t>
      </w:r>
      <w:r>
        <w:t xml:space="preserve">Guideline and will build upon experience of Operational District (OD) assessment of health centers/referral hospitals under Health Equity and Quality Improvement Project (H-EQIP, P157291) as well as the citizen monitoring using community scorecards under the </w:t>
      </w:r>
      <w:r w:rsidR="3554A70E">
        <w:t>Implementation of the Social Accountability Framework (</w:t>
      </w:r>
      <w:r>
        <w:t>ISAF</w:t>
      </w:r>
      <w:r w:rsidR="3554A70E">
        <w:t>)</w:t>
      </w:r>
      <w:r>
        <w:t xml:space="preserve">. DMA will conduct assessment of C/S, report on their own activities in a standardized checklist, and submit the scores to the NCDDS. The checklist will include elements such as the regularity and timeliness of assessment, </w:t>
      </w:r>
      <w:r w:rsidR="00A74BE1">
        <w:t xml:space="preserve">training and refresher training to C/S key actors, </w:t>
      </w:r>
      <w:r>
        <w:t>extent of discrepancies in the previous two rounds compared to independent verification scores, participation in oversight and coaching, and responsiveness on citizen feedback. The NCDDS has hired a firm to carry out third-party, independent verification of the C/S-SDG and DMA scores on a random- and risk-sampled basis.</w:t>
      </w:r>
    </w:p>
    <w:p w14:paraId="0F810D14" w14:textId="77777777" w:rsidR="003A2DA6" w:rsidRDefault="00FE0CFB" w:rsidP="00BC1439">
      <w:pPr>
        <w:pStyle w:val="ListParagraph"/>
        <w:tabs>
          <w:tab w:val="left" w:pos="720"/>
        </w:tabs>
        <w:spacing w:before="120" w:after="60"/>
        <w:ind w:left="0" w:right="30" w:firstLine="0"/>
        <w:jc w:val="both"/>
      </w:pPr>
      <w:r w:rsidRPr="00FE0CFB">
        <w:t xml:space="preserve">Under CNP-I, the CPWC has been piloted as a community platform for health and nutrition promotion in the seven priority provinces. Under CNP-I Component 3, the MOH has developed the package of activities for Village Health Support Group (VHSGs) to support this program. The package includes: (a) social mapping for first 1,000-day households; (b) targeted health and nutrition social behavior change communication (SBCC) through door-to-door home visits, community groups, and mobilization for community-based </w:t>
      </w:r>
      <w:r w:rsidRPr="00FE0CFB">
        <w:rPr>
          <w:lang w:val="en-GB"/>
        </w:rPr>
        <w:t>GMP</w:t>
      </w:r>
      <w:r w:rsidRPr="00FE0CFB">
        <w:t xml:space="preserve">; (c) Health Equity Fund (HEF) promotion to increase service utilization among the poor; (d) community mobilization, including for Severe Acute Malnutrition (SAM) screening; and (e) health center management committee (HCMC) meetings. </w:t>
      </w:r>
      <w:r w:rsidRPr="00FE0CFB">
        <w:rPr>
          <w:b/>
          <w:bCs/>
        </w:rPr>
        <w:t>CPWC activities will be adapted to respond to COVID-19 infection prevention and control measures and to include provision of information on COVID-19 prevention, treatment, and vaccination</w:t>
      </w:r>
      <w:r w:rsidRPr="00FE0CFB">
        <w:t>. As relevant and necessary, adaptations will also be undertaken to address the needs (activities, language, and so on) in indigenous communities where it will operate.</w:t>
      </w:r>
    </w:p>
    <w:p w14:paraId="2CEC7627" w14:textId="36C3C59E" w:rsidR="003A2DA6" w:rsidRPr="002746B5" w:rsidRDefault="385C52FB" w:rsidP="00BC1439">
      <w:pPr>
        <w:pStyle w:val="ListParagraph"/>
        <w:tabs>
          <w:tab w:val="left" w:pos="720"/>
        </w:tabs>
        <w:spacing w:before="120" w:after="60"/>
        <w:ind w:left="0" w:right="30" w:firstLine="0"/>
        <w:jc w:val="both"/>
      </w:pPr>
      <w:r w:rsidRPr="002746B5">
        <w:rPr>
          <w:b/>
          <w:bCs/>
        </w:rPr>
        <w:t>It is expected that CNP-I Component 2.1 will finance the SDG grants in 2021-2023 in the expanded 9-10 priority provinces; CNP-II Component 1 will finance the continuation of these activities in the 9-10 provinces in the project’s outer years (i.e., 2023-2026)</w:t>
      </w:r>
      <w:r>
        <w:t>.</w:t>
      </w:r>
    </w:p>
    <w:p w14:paraId="3DDB5AD7" w14:textId="049C566B" w:rsidR="006A2DB9" w:rsidRDefault="385C52FB" w:rsidP="00BC1439">
      <w:pPr>
        <w:pStyle w:val="ListParagraph"/>
        <w:numPr>
          <w:ilvl w:val="0"/>
          <w:numId w:val="57"/>
        </w:numPr>
        <w:tabs>
          <w:tab w:val="left" w:pos="270"/>
        </w:tabs>
        <w:spacing w:before="120" w:after="60"/>
        <w:ind w:left="270" w:right="29" w:hanging="270"/>
        <w:jc w:val="both"/>
      </w:pPr>
      <w:r w:rsidRPr="002746B5">
        <w:rPr>
          <w:b/>
          <w:bCs/>
        </w:rPr>
        <w:t>Component 2: Project Management, Monitoring, and Evaluation for the NCDDS (US$1.0 million).</w:t>
      </w:r>
      <w:r>
        <w:t xml:space="preserve"> Component 2 will finance activities otherwise eligible under subcomponent 2.3 of CNP-I, quickly disbursing to adapt to the COVID-19 context. This subcomponent will support provision of technical and operational assistance for routine administration as well as the procurement of additional goods (uniforms, equipment, and supplies for CPWC implementation) and services (C/S-SDG independent verification) and </w:t>
      </w:r>
      <w:r>
        <w:lastRenderedPageBreak/>
        <w:t>strengthened multisectoral coordination. The component may also support enhanced digital and communications equipment to assist with the implementation of C/S-SDG activities in the COVID-19 context.</w:t>
      </w:r>
    </w:p>
    <w:p w14:paraId="7CAC04FC" w14:textId="07C0D0E6" w:rsidR="003A2DA6" w:rsidRPr="002746B5" w:rsidRDefault="003A2DA6" w:rsidP="002746B5">
      <w:pPr>
        <w:tabs>
          <w:tab w:val="left" w:pos="270"/>
          <w:tab w:val="left" w:pos="720"/>
          <w:tab w:val="left" w:pos="810"/>
          <w:tab w:val="left" w:pos="1170"/>
          <w:tab w:val="left" w:pos="2610"/>
        </w:tabs>
        <w:spacing w:before="120" w:after="60" w:line="240" w:lineRule="auto"/>
        <w:ind w:left="-90" w:right="29"/>
        <w:jc w:val="both"/>
        <w:rPr>
          <w:sz w:val="24"/>
          <w:szCs w:val="24"/>
        </w:rPr>
      </w:pPr>
      <w:r w:rsidRPr="002746B5">
        <w:rPr>
          <w:sz w:val="24"/>
          <w:szCs w:val="24"/>
        </w:rPr>
        <w:t xml:space="preserve">The implementing agency for CNP-II will be the NCDDS </w:t>
      </w:r>
      <w:r w:rsidR="00B7466C">
        <w:rPr>
          <w:sz w:val="24"/>
          <w:szCs w:val="24"/>
        </w:rPr>
        <w:t xml:space="preserve">housed in </w:t>
      </w:r>
      <w:r w:rsidRPr="002746B5">
        <w:rPr>
          <w:sz w:val="24"/>
          <w:szCs w:val="24"/>
        </w:rPr>
        <w:t xml:space="preserve"> the of the Ministry of Interior (MOI), which is one of the two implementing agencies for the CNP-I. NCDDS has the capacity to provide national-level management and leadership as well as to support sub-national implementation. NCDDS has a strong track record of harnessing existing systems which emphasize the role of decentralization, to coordinate with administrative districts, commune councils, and health centers at the selected locations.</w:t>
      </w:r>
    </w:p>
    <w:p w14:paraId="4F0D03B7" w14:textId="207BE674" w:rsidR="00F9683D" w:rsidRPr="002746B5" w:rsidRDefault="42DF4AE4" w:rsidP="004811D2">
      <w:pPr>
        <w:pStyle w:val="ListParagraph"/>
        <w:numPr>
          <w:ilvl w:val="1"/>
          <w:numId w:val="59"/>
        </w:numPr>
        <w:tabs>
          <w:tab w:val="left" w:pos="310"/>
          <w:tab w:val="left" w:pos="540"/>
        </w:tabs>
        <w:kinsoku w:val="0"/>
        <w:overflowPunct w:val="0"/>
        <w:spacing w:before="178"/>
        <w:ind w:left="0" w:right="30" w:firstLine="0"/>
        <w:jc w:val="both"/>
        <w:rPr>
          <w:b/>
          <w:bCs/>
          <w:sz w:val="28"/>
          <w:szCs w:val="28"/>
        </w:rPr>
      </w:pPr>
      <w:r w:rsidRPr="009032D6">
        <w:rPr>
          <w:b/>
          <w:bCs/>
          <w:sz w:val="28"/>
          <w:szCs w:val="28"/>
        </w:rPr>
        <w:t>OBJECTIVES AND SCOPE</w:t>
      </w:r>
      <w:r w:rsidRPr="009032D6">
        <w:rPr>
          <w:b/>
          <w:bCs/>
          <w:spacing w:val="1"/>
          <w:sz w:val="28"/>
          <w:szCs w:val="28"/>
        </w:rPr>
        <w:t xml:space="preserve"> </w:t>
      </w:r>
      <w:r w:rsidRPr="009032D6">
        <w:rPr>
          <w:b/>
          <w:bCs/>
          <w:sz w:val="28"/>
          <w:szCs w:val="28"/>
        </w:rPr>
        <w:t>OF</w:t>
      </w:r>
      <w:r w:rsidRPr="009032D6">
        <w:rPr>
          <w:b/>
          <w:bCs/>
          <w:spacing w:val="-1"/>
          <w:sz w:val="28"/>
          <w:szCs w:val="28"/>
        </w:rPr>
        <w:t xml:space="preserve"> </w:t>
      </w:r>
      <w:r w:rsidR="0EB5CA69" w:rsidRPr="7B4010DD">
        <w:rPr>
          <w:b/>
          <w:bCs/>
          <w:sz w:val="28"/>
          <w:szCs w:val="28"/>
        </w:rPr>
        <w:t>THE ESMP</w:t>
      </w:r>
    </w:p>
    <w:p w14:paraId="470628E8" w14:textId="17E24A19" w:rsidR="00627025" w:rsidRDefault="00F9683D" w:rsidP="004811D2">
      <w:pPr>
        <w:kinsoku w:val="0"/>
        <w:overflowPunct w:val="0"/>
        <w:autoSpaceDE w:val="0"/>
        <w:autoSpaceDN w:val="0"/>
        <w:adjustRightInd w:val="0"/>
        <w:spacing w:before="120" w:after="0" w:line="240" w:lineRule="auto"/>
        <w:ind w:right="29"/>
        <w:jc w:val="both"/>
        <w:rPr>
          <w:rFonts w:ascii="Calibri" w:hAnsi="Calibri" w:cs="Calibri"/>
          <w:sz w:val="24"/>
          <w:szCs w:val="24"/>
        </w:rPr>
      </w:pPr>
      <w:r w:rsidRPr="00F9683D">
        <w:rPr>
          <w:rFonts w:ascii="Calibri" w:hAnsi="Calibri" w:cs="Calibri"/>
          <w:sz w:val="24"/>
          <w:szCs w:val="24"/>
        </w:rPr>
        <w:t xml:space="preserve">This Environment and Social Management Plan (ESMP) </w:t>
      </w:r>
      <w:r>
        <w:rPr>
          <w:rFonts w:ascii="Calibri" w:hAnsi="Calibri" w:cs="Calibri"/>
          <w:sz w:val="24"/>
          <w:szCs w:val="24"/>
        </w:rPr>
        <w:t xml:space="preserve">is prepared for CNP-II and will serve as a supplement to the existing Environment Management Plan (EMP) which was prepared under CNP-I. The CNP-II ESMP serves as </w:t>
      </w:r>
      <w:r w:rsidR="00F0497F">
        <w:rPr>
          <w:rFonts w:ascii="Calibri" w:hAnsi="Calibri" w:cs="Calibri"/>
          <w:sz w:val="24"/>
          <w:szCs w:val="24"/>
        </w:rPr>
        <w:t xml:space="preserve">the main reference for the </w:t>
      </w:r>
      <w:r w:rsidR="003F1119">
        <w:rPr>
          <w:rFonts w:ascii="Calibri" w:hAnsi="Calibri" w:cs="Calibri"/>
          <w:sz w:val="24"/>
          <w:szCs w:val="24"/>
        </w:rPr>
        <w:t xml:space="preserve">management of potential risks and impacts </w:t>
      </w:r>
      <w:r w:rsidR="00627025">
        <w:rPr>
          <w:rFonts w:ascii="Calibri" w:hAnsi="Calibri" w:cs="Calibri"/>
          <w:sz w:val="24"/>
          <w:szCs w:val="24"/>
        </w:rPr>
        <w:t xml:space="preserve">and enhancement of development opportunities </w:t>
      </w:r>
      <w:r w:rsidR="003F1119">
        <w:rPr>
          <w:rFonts w:ascii="Calibri" w:hAnsi="Calibri" w:cs="Calibri"/>
          <w:sz w:val="24"/>
          <w:szCs w:val="24"/>
        </w:rPr>
        <w:t xml:space="preserve">for activities being supported by the </w:t>
      </w:r>
      <w:r w:rsidR="00657610">
        <w:rPr>
          <w:rFonts w:ascii="Calibri" w:hAnsi="Calibri" w:cs="Calibri"/>
          <w:sz w:val="24"/>
          <w:szCs w:val="24"/>
        </w:rPr>
        <w:t>C</w:t>
      </w:r>
      <w:r w:rsidR="00627025">
        <w:rPr>
          <w:rFonts w:ascii="Calibri" w:hAnsi="Calibri" w:cs="Calibri"/>
          <w:sz w:val="24"/>
          <w:szCs w:val="24"/>
        </w:rPr>
        <w:t>NP-II.</w:t>
      </w:r>
    </w:p>
    <w:p w14:paraId="172A7374" w14:textId="2EBAE8E0" w:rsidR="00C51F93" w:rsidRDefault="00627025" w:rsidP="004811D2">
      <w:pPr>
        <w:kinsoku w:val="0"/>
        <w:overflowPunct w:val="0"/>
        <w:autoSpaceDE w:val="0"/>
        <w:autoSpaceDN w:val="0"/>
        <w:adjustRightInd w:val="0"/>
        <w:spacing w:before="120" w:after="0" w:line="240" w:lineRule="auto"/>
        <w:ind w:right="29"/>
        <w:jc w:val="both"/>
        <w:rPr>
          <w:rFonts w:ascii="Calibri" w:hAnsi="Calibri" w:cs="Calibri"/>
          <w:sz w:val="24"/>
          <w:szCs w:val="24"/>
        </w:rPr>
      </w:pPr>
      <w:r>
        <w:rPr>
          <w:rFonts w:ascii="Calibri" w:hAnsi="Calibri" w:cs="Calibri"/>
          <w:sz w:val="24"/>
          <w:szCs w:val="24"/>
        </w:rPr>
        <w:t xml:space="preserve">Relevant risk management for activities under CNP-I will continue to be addressed under the existing instruments </w:t>
      </w:r>
      <w:r w:rsidR="00677321">
        <w:rPr>
          <w:rFonts w:ascii="Calibri" w:hAnsi="Calibri" w:cs="Calibri"/>
          <w:sz w:val="24"/>
          <w:szCs w:val="24"/>
        </w:rPr>
        <w:t xml:space="preserve">which were prepared under CNP-I. These include the EMP and the Indigenous Peoples Planning Framework (IPPF) to address </w:t>
      </w:r>
      <w:r w:rsidR="00C51F93">
        <w:rPr>
          <w:rFonts w:ascii="Calibri" w:hAnsi="Calibri" w:cs="Calibri"/>
          <w:sz w:val="24"/>
          <w:szCs w:val="24"/>
        </w:rPr>
        <w:t xml:space="preserve">relevant requirements under the World Bank’s Safeguards Policies triggered under CNP-I. </w:t>
      </w:r>
    </w:p>
    <w:p w14:paraId="5384B636" w14:textId="0CE03470" w:rsidR="00BE6B8C" w:rsidRDefault="550B52DE" w:rsidP="004811D2">
      <w:pPr>
        <w:kinsoku w:val="0"/>
        <w:overflowPunct w:val="0"/>
        <w:autoSpaceDE w:val="0"/>
        <w:autoSpaceDN w:val="0"/>
        <w:adjustRightInd w:val="0"/>
        <w:spacing w:before="120" w:after="0" w:line="240" w:lineRule="auto"/>
        <w:ind w:right="29"/>
        <w:jc w:val="both"/>
        <w:rPr>
          <w:rFonts w:ascii="Calibri" w:hAnsi="Calibri" w:cs="Calibri"/>
          <w:sz w:val="24"/>
          <w:szCs w:val="24"/>
        </w:rPr>
      </w:pPr>
      <w:r w:rsidRPr="7B4010DD">
        <w:rPr>
          <w:rFonts w:ascii="Calibri" w:hAnsi="Calibri" w:cs="Calibri"/>
          <w:sz w:val="24"/>
          <w:szCs w:val="24"/>
        </w:rPr>
        <w:t xml:space="preserve">This ESMP is applicable for activities financed by CNP-II, which builds on sub-component 2.1 of the CNP-I. Such activities will support C/S SGDs delivery for women and children across the original seven provinces and </w:t>
      </w:r>
      <w:r w:rsidR="004308D6">
        <w:rPr>
          <w:rFonts w:ascii="Calibri" w:hAnsi="Calibri" w:cs="Calibri"/>
          <w:sz w:val="24"/>
          <w:szCs w:val="24"/>
        </w:rPr>
        <w:t>two</w:t>
      </w:r>
      <w:r w:rsidRPr="7B4010DD">
        <w:rPr>
          <w:rFonts w:ascii="Calibri" w:hAnsi="Calibri" w:cs="Calibri"/>
          <w:sz w:val="24"/>
          <w:szCs w:val="24"/>
        </w:rPr>
        <w:t xml:space="preserve"> new provinces</w:t>
      </w:r>
      <w:r w:rsidR="1834ED79" w:rsidRPr="7B4010DD">
        <w:rPr>
          <w:rFonts w:ascii="Calibri" w:hAnsi="Calibri" w:cs="Calibri"/>
          <w:sz w:val="24"/>
          <w:szCs w:val="24"/>
        </w:rPr>
        <w:t xml:space="preserve"> that </w:t>
      </w:r>
      <w:r w:rsidRPr="7B4010DD">
        <w:rPr>
          <w:rFonts w:ascii="Calibri" w:hAnsi="Calibri" w:cs="Calibri"/>
          <w:sz w:val="24"/>
          <w:szCs w:val="24"/>
        </w:rPr>
        <w:t xml:space="preserve">will be added upon full disbursement of funds allocated under Component 2.1 of the CNP-I in these provinces. NCDDS will be responsible to implement the ESMP in coordination with MOH for the implementation of activities under CNP-I. While CNP-II is being processed as a separate project from CNP-I instead of an Additional Financing for the latter, both CNP-I and CNP-II are technically inter-related and hence, the </w:t>
      </w:r>
      <w:r w:rsidR="269ED7CA" w:rsidRPr="7B4010DD">
        <w:rPr>
          <w:rFonts w:ascii="Calibri" w:hAnsi="Calibri" w:cs="Calibri"/>
          <w:sz w:val="24"/>
          <w:szCs w:val="24"/>
        </w:rPr>
        <w:t>ESMP</w:t>
      </w:r>
      <w:r w:rsidRPr="7B4010DD">
        <w:rPr>
          <w:rFonts w:ascii="Calibri" w:hAnsi="Calibri" w:cs="Calibri"/>
          <w:sz w:val="24"/>
          <w:szCs w:val="24"/>
        </w:rPr>
        <w:t xml:space="preserve"> is also expected to be implemented across activities where there is a substantial interface across these two projects, particularly for the delivery of C/S SDGs which is being supported by both CNP-I and CNP-II.</w:t>
      </w:r>
    </w:p>
    <w:p w14:paraId="0D511DC2" w14:textId="714F496D" w:rsidR="00940B1A" w:rsidRDefault="32DC470C" w:rsidP="004811D2">
      <w:pPr>
        <w:kinsoku w:val="0"/>
        <w:overflowPunct w:val="0"/>
        <w:autoSpaceDE w:val="0"/>
        <w:autoSpaceDN w:val="0"/>
        <w:adjustRightInd w:val="0"/>
        <w:spacing w:before="120" w:after="0" w:line="240" w:lineRule="auto"/>
        <w:ind w:right="29"/>
        <w:jc w:val="both"/>
        <w:rPr>
          <w:rFonts w:ascii="Calibri" w:hAnsi="Calibri" w:cs="Calibri"/>
          <w:sz w:val="24"/>
          <w:szCs w:val="24"/>
        </w:rPr>
      </w:pPr>
      <w:r w:rsidRPr="7B4010DD">
        <w:rPr>
          <w:rFonts w:ascii="Calibri" w:hAnsi="Calibri" w:cs="Calibri"/>
          <w:sz w:val="24"/>
          <w:szCs w:val="24"/>
        </w:rPr>
        <w:t>The</w:t>
      </w:r>
      <w:r w:rsidR="3723AEC7" w:rsidRPr="7B4010DD">
        <w:rPr>
          <w:rFonts w:ascii="Calibri" w:hAnsi="Calibri" w:cs="Calibri"/>
          <w:sz w:val="24"/>
          <w:szCs w:val="24"/>
        </w:rPr>
        <w:t xml:space="preserve"> ESMP</w:t>
      </w:r>
      <w:r w:rsidRPr="7B4010DD">
        <w:rPr>
          <w:rFonts w:ascii="Calibri" w:hAnsi="Calibri" w:cs="Calibri"/>
          <w:sz w:val="24"/>
          <w:szCs w:val="24"/>
        </w:rPr>
        <w:t xml:space="preserve"> for CNP-II</w:t>
      </w:r>
      <w:r w:rsidR="3723AEC7" w:rsidRPr="7B4010DD">
        <w:rPr>
          <w:rFonts w:ascii="Calibri" w:hAnsi="Calibri" w:cs="Calibri"/>
          <w:sz w:val="24"/>
          <w:szCs w:val="24"/>
        </w:rPr>
        <w:t xml:space="preserve"> includes </w:t>
      </w:r>
      <w:r w:rsidR="76FA39A3" w:rsidRPr="7B4010DD">
        <w:rPr>
          <w:rFonts w:ascii="Calibri" w:hAnsi="Calibri" w:cs="Calibri"/>
          <w:sz w:val="24"/>
          <w:szCs w:val="24"/>
        </w:rPr>
        <w:t>relevant</w:t>
      </w:r>
      <w:r w:rsidRPr="7B4010DD">
        <w:rPr>
          <w:rFonts w:ascii="Calibri" w:hAnsi="Calibri" w:cs="Calibri"/>
          <w:sz w:val="24"/>
          <w:szCs w:val="24"/>
        </w:rPr>
        <w:t xml:space="preserve"> </w:t>
      </w:r>
      <w:r w:rsidR="3723AEC7" w:rsidRPr="7B4010DD">
        <w:rPr>
          <w:rFonts w:ascii="Calibri" w:hAnsi="Calibri" w:cs="Calibri"/>
          <w:sz w:val="24"/>
          <w:szCs w:val="24"/>
        </w:rPr>
        <w:t xml:space="preserve">requirements </w:t>
      </w:r>
      <w:r w:rsidRPr="7B4010DD">
        <w:rPr>
          <w:rFonts w:ascii="Calibri" w:hAnsi="Calibri" w:cs="Calibri"/>
          <w:sz w:val="24"/>
          <w:szCs w:val="24"/>
        </w:rPr>
        <w:t xml:space="preserve">under </w:t>
      </w:r>
      <w:r w:rsidR="76FA39A3" w:rsidRPr="7B4010DD">
        <w:rPr>
          <w:rFonts w:ascii="Calibri" w:hAnsi="Calibri" w:cs="Calibri"/>
          <w:sz w:val="24"/>
          <w:szCs w:val="24"/>
        </w:rPr>
        <w:t xml:space="preserve">the </w:t>
      </w:r>
      <w:r w:rsidR="3723AEC7" w:rsidRPr="7B4010DD">
        <w:rPr>
          <w:rFonts w:ascii="Calibri" w:hAnsi="Calibri" w:cs="Calibri"/>
          <w:sz w:val="24"/>
          <w:szCs w:val="24"/>
        </w:rPr>
        <w:t xml:space="preserve">World Bank’s Environmental and Social Framework (ESF) </w:t>
      </w:r>
      <w:r w:rsidR="76FA39A3" w:rsidRPr="7B4010DD">
        <w:rPr>
          <w:rFonts w:ascii="Calibri" w:hAnsi="Calibri" w:cs="Calibri"/>
          <w:sz w:val="24"/>
          <w:szCs w:val="24"/>
        </w:rPr>
        <w:t>as further defined in each applicable Environmental and Social Standard (ESS).</w:t>
      </w:r>
      <w:r w:rsidR="11507A11" w:rsidRPr="7B4010DD">
        <w:rPr>
          <w:rFonts w:ascii="Calibri" w:hAnsi="Calibri" w:cs="Calibri"/>
          <w:sz w:val="24"/>
          <w:szCs w:val="24"/>
        </w:rPr>
        <w:t xml:space="preserve"> These include </w:t>
      </w:r>
      <w:r w:rsidR="38E8B125" w:rsidRPr="7B4010DD">
        <w:rPr>
          <w:rFonts w:ascii="Calibri" w:hAnsi="Calibri" w:cs="Calibri"/>
          <w:sz w:val="24"/>
          <w:szCs w:val="24"/>
        </w:rPr>
        <w:t>social inclusion</w:t>
      </w:r>
      <w:r w:rsidR="6F26880F" w:rsidRPr="7B4010DD">
        <w:rPr>
          <w:rFonts w:ascii="Calibri" w:hAnsi="Calibri" w:cs="Calibri"/>
          <w:sz w:val="24"/>
          <w:szCs w:val="24"/>
        </w:rPr>
        <w:t xml:space="preserve"> for vulnerable groups and Indigenous Peoples</w:t>
      </w:r>
      <w:r w:rsidR="6274CA48" w:rsidRPr="7B4010DD">
        <w:rPr>
          <w:rFonts w:ascii="Calibri" w:hAnsi="Calibri" w:cs="Calibri"/>
          <w:sz w:val="24"/>
          <w:szCs w:val="24"/>
        </w:rPr>
        <w:t>, including respect to traditional practices</w:t>
      </w:r>
      <w:r w:rsidR="38E8B125" w:rsidRPr="7B4010DD">
        <w:rPr>
          <w:rFonts w:ascii="Calibri" w:hAnsi="Calibri" w:cs="Calibri"/>
          <w:sz w:val="24"/>
          <w:szCs w:val="24"/>
        </w:rPr>
        <w:t>, Occupational Health and Safety (OHS),</w:t>
      </w:r>
      <w:r w:rsidR="46D5B594" w:rsidRPr="7B4010DD">
        <w:rPr>
          <w:rFonts w:ascii="Calibri" w:hAnsi="Calibri" w:cs="Calibri"/>
          <w:sz w:val="24"/>
          <w:szCs w:val="24"/>
        </w:rPr>
        <w:t xml:space="preserve"> community health and safety</w:t>
      </w:r>
      <w:r w:rsidR="38E8B125" w:rsidRPr="7B4010DD">
        <w:rPr>
          <w:rFonts w:ascii="Calibri" w:hAnsi="Calibri" w:cs="Calibri"/>
          <w:sz w:val="24"/>
          <w:szCs w:val="24"/>
        </w:rPr>
        <w:t xml:space="preserve"> </w:t>
      </w:r>
      <w:r w:rsidR="6F26880F" w:rsidRPr="7B4010DD">
        <w:rPr>
          <w:rFonts w:ascii="Calibri" w:hAnsi="Calibri" w:cs="Calibri"/>
          <w:sz w:val="24"/>
          <w:szCs w:val="24"/>
        </w:rPr>
        <w:t>particularly for the purpose of COVID-19 prevention</w:t>
      </w:r>
      <w:r w:rsidR="46D5B594" w:rsidRPr="7B4010DD">
        <w:rPr>
          <w:rFonts w:ascii="Calibri" w:hAnsi="Calibri" w:cs="Calibri"/>
          <w:sz w:val="24"/>
          <w:szCs w:val="24"/>
        </w:rPr>
        <w:t xml:space="preserve"> and prevention of Sexual Exploitation and Abuse and Sexual Harassment (SEA/SH)</w:t>
      </w:r>
      <w:r w:rsidR="6F26880F" w:rsidRPr="7B4010DD">
        <w:rPr>
          <w:rFonts w:ascii="Calibri" w:hAnsi="Calibri" w:cs="Calibri"/>
          <w:sz w:val="24"/>
          <w:szCs w:val="24"/>
        </w:rPr>
        <w:t xml:space="preserve">, </w:t>
      </w:r>
      <w:r w:rsidR="64345B16" w:rsidRPr="7B4010DD">
        <w:rPr>
          <w:rFonts w:ascii="Calibri" w:hAnsi="Calibri" w:cs="Calibri"/>
          <w:sz w:val="24"/>
          <w:szCs w:val="24"/>
        </w:rPr>
        <w:t xml:space="preserve">and </w:t>
      </w:r>
      <w:r w:rsidR="6CA49316" w:rsidRPr="7B4010DD">
        <w:rPr>
          <w:rFonts w:ascii="Calibri" w:hAnsi="Calibri" w:cs="Calibri"/>
          <w:sz w:val="24"/>
          <w:szCs w:val="24"/>
        </w:rPr>
        <w:t xml:space="preserve">electronic </w:t>
      </w:r>
      <w:r w:rsidR="6F26880F" w:rsidRPr="7B4010DD">
        <w:rPr>
          <w:rFonts w:ascii="Calibri" w:hAnsi="Calibri" w:cs="Calibri"/>
          <w:sz w:val="24"/>
          <w:szCs w:val="24"/>
        </w:rPr>
        <w:t xml:space="preserve">waste </w:t>
      </w:r>
      <w:r w:rsidR="5199275D" w:rsidRPr="7B4010DD">
        <w:rPr>
          <w:rFonts w:ascii="Calibri" w:hAnsi="Calibri" w:cs="Calibri"/>
          <w:sz w:val="24"/>
          <w:szCs w:val="24"/>
        </w:rPr>
        <w:t xml:space="preserve">(e-waste) </w:t>
      </w:r>
      <w:r w:rsidR="6F26880F" w:rsidRPr="7B4010DD">
        <w:rPr>
          <w:rFonts w:ascii="Calibri" w:hAnsi="Calibri" w:cs="Calibri"/>
          <w:sz w:val="24"/>
          <w:szCs w:val="24"/>
        </w:rPr>
        <w:t>management</w:t>
      </w:r>
      <w:r w:rsidR="10DBD8B5" w:rsidRPr="7B4010DD">
        <w:rPr>
          <w:rFonts w:ascii="Calibri" w:hAnsi="Calibri" w:cs="Calibri"/>
          <w:sz w:val="24"/>
          <w:szCs w:val="24"/>
        </w:rPr>
        <w:t xml:space="preserve"> associated with ICT facilities</w:t>
      </w:r>
      <w:r w:rsidR="64345B16" w:rsidRPr="7B4010DD">
        <w:rPr>
          <w:rFonts w:ascii="Calibri" w:hAnsi="Calibri" w:cs="Calibri"/>
          <w:sz w:val="24"/>
          <w:szCs w:val="24"/>
        </w:rPr>
        <w:t xml:space="preserve">, particularly for the implementation of Component 1 </w:t>
      </w:r>
      <w:r w:rsidR="4833D499" w:rsidRPr="7B4010DD">
        <w:rPr>
          <w:rFonts w:ascii="Calibri" w:hAnsi="Calibri" w:cs="Calibri"/>
          <w:sz w:val="24"/>
          <w:szCs w:val="24"/>
        </w:rPr>
        <w:t xml:space="preserve">and 2 </w:t>
      </w:r>
      <w:r w:rsidR="64345B16" w:rsidRPr="7B4010DD">
        <w:rPr>
          <w:rFonts w:ascii="Calibri" w:hAnsi="Calibri" w:cs="Calibri"/>
          <w:sz w:val="24"/>
          <w:szCs w:val="24"/>
        </w:rPr>
        <w:t xml:space="preserve">of the CNP-II. </w:t>
      </w:r>
    </w:p>
    <w:p w14:paraId="6668C156" w14:textId="0D19E048" w:rsidR="00724BF4" w:rsidRDefault="3723AEC7" w:rsidP="004811D2">
      <w:pPr>
        <w:kinsoku w:val="0"/>
        <w:overflowPunct w:val="0"/>
        <w:autoSpaceDE w:val="0"/>
        <w:autoSpaceDN w:val="0"/>
        <w:adjustRightInd w:val="0"/>
        <w:spacing w:before="120" w:after="0" w:line="240" w:lineRule="auto"/>
        <w:ind w:right="29"/>
        <w:jc w:val="both"/>
        <w:rPr>
          <w:rFonts w:ascii="Calibri" w:hAnsi="Calibri" w:cs="Calibri"/>
          <w:sz w:val="24"/>
          <w:szCs w:val="24"/>
        </w:rPr>
      </w:pPr>
      <w:r w:rsidRPr="7B4010DD">
        <w:rPr>
          <w:rFonts w:ascii="Calibri" w:hAnsi="Calibri" w:cs="Calibri"/>
          <w:sz w:val="24"/>
          <w:szCs w:val="24"/>
        </w:rPr>
        <w:t xml:space="preserve">The CNP-II will provide additional resources to scale up activities implemented by NCDDS under the CNP-I project. </w:t>
      </w:r>
      <w:r w:rsidR="42DD28EE" w:rsidRPr="7B4010DD">
        <w:rPr>
          <w:rFonts w:ascii="Calibri" w:hAnsi="Calibri" w:cs="Calibri"/>
          <w:sz w:val="24"/>
          <w:szCs w:val="24"/>
        </w:rPr>
        <w:t xml:space="preserve">The project will focus on the existing </w:t>
      </w:r>
      <w:r w:rsidR="65BB555C" w:rsidRPr="7B4010DD">
        <w:rPr>
          <w:rFonts w:ascii="Calibri" w:hAnsi="Calibri" w:cs="Calibri"/>
          <w:sz w:val="24"/>
          <w:szCs w:val="24"/>
        </w:rPr>
        <w:t xml:space="preserve">seven </w:t>
      </w:r>
      <w:r w:rsidR="42DD28EE" w:rsidRPr="7B4010DD">
        <w:rPr>
          <w:rFonts w:ascii="Calibri" w:hAnsi="Calibri" w:cs="Calibri"/>
          <w:sz w:val="24"/>
          <w:szCs w:val="24"/>
        </w:rPr>
        <w:t xml:space="preserve">provinces selected under CNP-I. These include Mondul Kiri, Ratanak Kiri, Steung Treng, Kratie, Preah Vihear, Kampong Chhnang, </w:t>
      </w:r>
      <w:r w:rsidR="7D1C2E86" w:rsidRPr="7B4010DD">
        <w:rPr>
          <w:rFonts w:ascii="Calibri" w:hAnsi="Calibri" w:cs="Calibri"/>
          <w:sz w:val="24"/>
          <w:szCs w:val="24"/>
        </w:rPr>
        <w:t xml:space="preserve">and </w:t>
      </w:r>
      <w:r w:rsidR="42DD28EE" w:rsidRPr="7B4010DD">
        <w:rPr>
          <w:rFonts w:ascii="Calibri" w:hAnsi="Calibri" w:cs="Calibri"/>
          <w:sz w:val="24"/>
          <w:szCs w:val="24"/>
        </w:rPr>
        <w:t>Koh Kong</w:t>
      </w:r>
      <w:r w:rsidR="42DD28EE" w:rsidRPr="00634DDD">
        <w:rPr>
          <w:rFonts w:ascii="Calibri" w:hAnsi="Calibri" w:cs="Calibri"/>
          <w:sz w:val="24"/>
          <w:szCs w:val="24"/>
        </w:rPr>
        <w:t xml:space="preserve">. </w:t>
      </w:r>
      <w:r w:rsidR="00043A0F" w:rsidRPr="00634DDD">
        <w:rPr>
          <w:rFonts w:ascii="Calibri" w:hAnsi="Calibri" w:cs="Calibri"/>
          <w:sz w:val="24"/>
          <w:szCs w:val="24"/>
        </w:rPr>
        <w:t xml:space="preserve">Specific focus will be on strengthening the delivery of Commune/Sangkat (C/S) SGDs as well as expansion to </w:t>
      </w:r>
      <w:r w:rsidR="00BC1439" w:rsidRPr="00634DDD">
        <w:rPr>
          <w:rFonts w:ascii="Calibri" w:hAnsi="Calibri" w:cs="Calibri"/>
          <w:sz w:val="24"/>
          <w:szCs w:val="24"/>
        </w:rPr>
        <w:t>two</w:t>
      </w:r>
      <w:r w:rsidR="00043A0F" w:rsidRPr="00634DDD">
        <w:rPr>
          <w:rFonts w:ascii="Calibri" w:hAnsi="Calibri" w:cs="Calibri"/>
          <w:sz w:val="24"/>
          <w:szCs w:val="24"/>
        </w:rPr>
        <w:t xml:space="preserve"> new </w:t>
      </w:r>
      <w:r w:rsidR="00AD0DFC" w:rsidRPr="00634DDD">
        <w:rPr>
          <w:rFonts w:ascii="Calibri" w:hAnsi="Calibri" w:cs="Calibri"/>
          <w:sz w:val="24"/>
          <w:szCs w:val="24"/>
        </w:rPr>
        <w:t>provinces</w:t>
      </w:r>
      <w:r w:rsidR="00BC1439" w:rsidRPr="00634DDD">
        <w:rPr>
          <w:rFonts w:ascii="Calibri" w:hAnsi="Calibri" w:cs="Calibri"/>
          <w:sz w:val="24"/>
          <w:szCs w:val="24"/>
        </w:rPr>
        <w:t xml:space="preserve"> including</w:t>
      </w:r>
      <w:r w:rsidR="5ED8745A" w:rsidRPr="00634DDD">
        <w:rPr>
          <w:rFonts w:ascii="Calibri" w:hAnsi="Calibri" w:cs="Calibri"/>
          <w:sz w:val="24"/>
          <w:szCs w:val="24"/>
        </w:rPr>
        <w:t xml:space="preserve"> Pursat and </w:t>
      </w:r>
      <w:r w:rsidR="3D2F014E" w:rsidRPr="00634DDD">
        <w:rPr>
          <w:rFonts w:ascii="Calibri" w:hAnsi="Calibri" w:cs="Calibri"/>
          <w:sz w:val="24"/>
          <w:szCs w:val="24"/>
        </w:rPr>
        <w:t>Banteay Meanchey</w:t>
      </w:r>
      <w:r w:rsidR="00043A0F" w:rsidRPr="00634DDD">
        <w:rPr>
          <w:rFonts w:ascii="Calibri" w:hAnsi="Calibri" w:cs="Calibri"/>
          <w:sz w:val="24"/>
          <w:szCs w:val="24"/>
        </w:rPr>
        <w:t>.</w:t>
      </w:r>
      <w:r w:rsidR="00043A0F" w:rsidRPr="7B4010DD">
        <w:rPr>
          <w:rFonts w:ascii="Calibri" w:hAnsi="Calibri" w:cs="Calibri"/>
          <w:sz w:val="24"/>
          <w:szCs w:val="24"/>
        </w:rPr>
        <w:t xml:space="preserve"> </w:t>
      </w:r>
    </w:p>
    <w:p w14:paraId="4FB2FB2C" w14:textId="3DFE5B0D" w:rsidR="00CD76BC" w:rsidRDefault="00043A0F" w:rsidP="004811D2">
      <w:pPr>
        <w:kinsoku w:val="0"/>
        <w:overflowPunct w:val="0"/>
        <w:autoSpaceDE w:val="0"/>
        <w:autoSpaceDN w:val="0"/>
        <w:adjustRightInd w:val="0"/>
        <w:spacing w:before="120" w:after="0" w:line="240" w:lineRule="auto"/>
        <w:ind w:right="29"/>
        <w:jc w:val="both"/>
        <w:rPr>
          <w:rFonts w:ascii="Calibri" w:hAnsi="Calibri" w:cs="Calibri"/>
          <w:sz w:val="24"/>
          <w:szCs w:val="24"/>
        </w:rPr>
      </w:pPr>
      <w:r w:rsidRPr="7B4010DD">
        <w:rPr>
          <w:rFonts w:ascii="Calibri" w:hAnsi="Calibri" w:cs="Calibri"/>
          <w:sz w:val="24"/>
          <w:szCs w:val="24"/>
        </w:rPr>
        <w:lastRenderedPageBreak/>
        <w:t>The ESMP outline</w:t>
      </w:r>
      <w:r w:rsidR="11324C10" w:rsidRPr="7B4010DD">
        <w:rPr>
          <w:rFonts w:ascii="Calibri" w:hAnsi="Calibri" w:cs="Calibri"/>
          <w:sz w:val="24"/>
          <w:szCs w:val="24"/>
        </w:rPr>
        <w:t>s</w:t>
      </w:r>
      <w:r w:rsidRPr="7B4010DD">
        <w:rPr>
          <w:rFonts w:ascii="Calibri" w:hAnsi="Calibri" w:cs="Calibri"/>
          <w:sz w:val="24"/>
          <w:szCs w:val="24"/>
        </w:rPr>
        <w:t xml:space="preserve"> additional measures to strengthen NC</w:t>
      </w:r>
      <w:r w:rsidR="6CD70EC0" w:rsidRPr="7B4010DD">
        <w:rPr>
          <w:rFonts w:ascii="Calibri" w:hAnsi="Calibri" w:cs="Calibri"/>
          <w:sz w:val="24"/>
          <w:szCs w:val="24"/>
        </w:rPr>
        <w:t>DDS’ current capacity to deliver the project activities as well as managing potential risks and enhance the project’s benefits.</w:t>
      </w:r>
      <w:r w:rsidR="5FF6B1EE" w:rsidRPr="7B4010DD">
        <w:rPr>
          <w:rFonts w:ascii="Calibri" w:hAnsi="Calibri" w:cs="Calibri"/>
          <w:sz w:val="24"/>
          <w:szCs w:val="24"/>
        </w:rPr>
        <w:t xml:space="preserve"> </w:t>
      </w:r>
    </w:p>
    <w:p w14:paraId="39D1CDC8" w14:textId="614BE1A8" w:rsidR="00CD76BC" w:rsidRDefault="38C24008" w:rsidP="004811D2">
      <w:pPr>
        <w:kinsoku w:val="0"/>
        <w:overflowPunct w:val="0"/>
        <w:autoSpaceDE w:val="0"/>
        <w:autoSpaceDN w:val="0"/>
        <w:adjustRightInd w:val="0"/>
        <w:spacing w:before="120" w:after="0" w:line="240" w:lineRule="auto"/>
        <w:ind w:right="29"/>
        <w:jc w:val="both"/>
        <w:rPr>
          <w:rFonts w:ascii="Calibri" w:hAnsi="Calibri" w:cs="Calibri"/>
          <w:sz w:val="24"/>
          <w:szCs w:val="24"/>
        </w:rPr>
      </w:pPr>
      <w:r w:rsidRPr="7B4010DD">
        <w:rPr>
          <w:rFonts w:ascii="Calibri" w:hAnsi="Calibri" w:cs="Calibri"/>
          <w:sz w:val="24"/>
          <w:szCs w:val="24"/>
        </w:rPr>
        <w:t xml:space="preserve"> C/S SDGs </w:t>
      </w:r>
      <w:r w:rsidR="4AFDF39B" w:rsidRPr="7B4010DD">
        <w:rPr>
          <w:rFonts w:ascii="Calibri" w:hAnsi="Calibri" w:cs="Calibri"/>
          <w:sz w:val="24"/>
          <w:szCs w:val="24"/>
        </w:rPr>
        <w:t xml:space="preserve">across </w:t>
      </w:r>
      <w:r w:rsidR="6019C1BE" w:rsidRPr="7B4010DD">
        <w:rPr>
          <w:rFonts w:ascii="Calibri" w:hAnsi="Calibri" w:cs="Calibri"/>
          <w:sz w:val="24"/>
          <w:szCs w:val="24"/>
        </w:rPr>
        <w:t>MCHN activities</w:t>
      </w:r>
      <w:r w:rsidR="39E6843B" w:rsidRPr="7B4010DD">
        <w:rPr>
          <w:rFonts w:ascii="Calibri" w:hAnsi="Calibri" w:cs="Calibri"/>
          <w:sz w:val="24"/>
          <w:szCs w:val="24"/>
        </w:rPr>
        <w:t xml:space="preserve">, including </w:t>
      </w:r>
      <w:r w:rsidR="6FE6EBAF" w:rsidRPr="7B4010DD">
        <w:rPr>
          <w:rFonts w:ascii="Calibri" w:hAnsi="Calibri" w:cs="Calibri"/>
          <w:sz w:val="24"/>
          <w:szCs w:val="24"/>
        </w:rPr>
        <w:t xml:space="preserve">promotion for </w:t>
      </w:r>
      <w:r w:rsidR="39E6843B" w:rsidRPr="7B4010DD">
        <w:rPr>
          <w:rFonts w:ascii="Calibri" w:hAnsi="Calibri" w:cs="Calibri"/>
          <w:sz w:val="24"/>
          <w:szCs w:val="24"/>
        </w:rPr>
        <w:t>ante- and post-natal care</w:t>
      </w:r>
      <w:r w:rsidR="20868E6F" w:rsidRPr="7B4010DD">
        <w:rPr>
          <w:rFonts w:ascii="Calibri" w:hAnsi="Calibri" w:cs="Calibri"/>
          <w:sz w:val="24"/>
          <w:szCs w:val="24"/>
        </w:rPr>
        <w:t xml:space="preserve"> and </w:t>
      </w:r>
      <w:r w:rsidR="39E6843B" w:rsidRPr="7B4010DD">
        <w:rPr>
          <w:rFonts w:ascii="Calibri" w:hAnsi="Calibri" w:cs="Calibri"/>
          <w:sz w:val="24"/>
          <w:szCs w:val="24"/>
        </w:rPr>
        <w:t>nutrition</w:t>
      </w:r>
      <w:r w:rsidR="20868E6F" w:rsidRPr="7B4010DD">
        <w:rPr>
          <w:rFonts w:ascii="Calibri" w:hAnsi="Calibri" w:cs="Calibri"/>
          <w:sz w:val="24"/>
          <w:szCs w:val="24"/>
        </w:rPr>
        <w:t xml:space="preserve"> for the first 1000-day households</w:t>
      </w:r>
      <w:r w:rsidR="636FE6B8" w:rsidRPr="7B4010DD">
        <w:rPr>
          <w:rFonts w:ascii="Calibri" w:hAnsi="Calibri" w:cs="Calibri"/>
          <w:sz w:val="24"/>
          <w:szCs w:val="24"/>
        </w:rPr>
        <w:t xml:space="preserve">, </w:t>
      </w:r>
      <w:r w:rsidR="1C734435" w:rsidRPr="7B4010DD">
        <w:rPr>
          <w:rFonts w:ascii="Calibri" w:hAnsi="Calibri" w:cs="Calibri"/>
          <w:sz w:val="24"/>
          <w:szCs w:val="24"/>
        </w:rPr>
        <w:t xml:space="preserve">exclusion of vulnerable groups, </w:t>
      </w:r>
      <w:r w:rsidR="27C4FDEB" w:rsidRPr="7B4010DD">
        <w:rPr>
          <w:rFonts w:ascii="Calibri" w:hAnsi="Calibri" w:cs="Calibri"/>
          <w:sz w:val="24"/>
          <w:szCs w:val="24"/>
        </w:rPr>
        <w:t>SEA/SH risks during delivery of MHCN activities</w:t>
      </w:r>
      <w:r w:rsidR="120425AB" w:rsidRPr="7B4010DD">
        <w:rPr>
          <w:rFonts w:ascii="Calibri" w:hAnsi="Calibri" w:cs="Calibri"/>
          <w:sz w:val="24"/>
          <w:szCs w:val="24"/>
        </w:rPr>
        <w:t xml:space="preserve">, </w:t>
      </w:r>
      <w:r w:rsidR="11FDD3B9" w:rsidRPr="7B4010DD">
        <w:rPr>
          <w:rFonts w:ascii="Calibri" w:hAnsi="Calibri" w:cs="Calibri"/>
          <w:sz w:val="24"/>
          <w:szCs w:val="24"/>
        </w:rPr>
        <w:t xml:space="preserve">OHS and community health and safety, particularly in the context of COVID-19 </w:t>
      </w:r>
      <w:r w:rsidR="61C64E5C" w:rsidRPr="7B4010DD">
        <w:rPr>
          <w:rFonts w:ascii="Calibri" w:hAnsi="Calibri" w:cs="Calibri"/>
          <w:sz w:val="24"/>
          <w:szCs w:val="24"/>
        </w:rPr>
        <w:t>pandemic</w:t>
      </w:r>
      <w:r w:rsidR="20868E6F" w:rsidRPr="7B4010DD">
        <w:rPr>
          <w:rFonts w:ascii="Calibri" w:hAnsi="Calibri" w:cs="Calibri"/>
          <w:sz w:val="24"/>
          <w:szCs w:val="24"/>
        </w:rPr>
        <w:t>.</w:t>
      </w:r>
      <w:r w:rsidR="769EFF83" w:rsidRPr="7B4010DD">
        <w:rPr>
          <w:rFonts w:ascii="Calibri" w:hAnsi="Calibri" w:cs="Calibri"/>
          <w:sz w:val="24"/>
          <w:szCs w:val="24"/>
        </w:rPr>
        <w:t xml:space="preserve"> Relevant risk mitigation measures </w:t>
      </w:r>
      <w:r w:rsidR="342601B5" w:rsidRPr="7B4010DD">
        <w:rPr>
          <w:rFonts w:ascii="Calibri" w:hAnsi="Calibri" w:cs="Calibri"/>
          <w:sz w:val="24"/>
          <w:szCs w:val="24"/>
        </w:rPr>
        <w:t xml:space="preserve">are </w:t>
      </w:r>
      <w:r w:rsidR="769EFF83" w:rsidRPr="7B4010DD">
        <w:rPr>
          <w:rFonts w:ascii="Calibri" w:hAnsi="Calibri" w:cs="Calibri"/>
          <w:sz w:val="24"/>
          <w:szCs w:val="24"/>
        </w:rPr>
        <w:t xml:space="preserve">outlined in the ESMP correspond to these potential risks. In addition, the ESMP includes </w:t>
      </w:r>
      <w:r w:rsidR="004BB008" w:rsidRPr="7B4010DD">
        <w:rPr>
          <w:rFonts w:ascii="Calibri" w:hAnsi="Calibri" w:cs="Calibri"/>
          <w:sz w:val="24"/>
          <w:szCs w:val="24"/>
        </w:rPr>
        <w:t xml:space="preserve">additional institutional capacity enhancement measures to project implementing entities, particularly on aspects related to </w:t>
      </w:r>
      <w:r w:rsidR="72F17480" w:rsidRPr="7B4010DD">
        <w:rPr>
          <w:rFonts w:ascii="Calibri" w:hAnsi="Calibri" w:cs="Calibri"/>
          <w:sz w:val="24"/>
          <w:szCs w:val="24"/>
        </w:rPr>
        <w:t>enhanced community and stakeholder engagement, promoting social inclusion to diverse groups, including Indigenous Peoples in target locations.</w:t>
      </w:r>
      <w:r w:rsidR="5FF6B1EE" w:rsidRPr="7B4010DD">
        <w:rPr>
          <w:rFonts w:ascii="Calibri" w:hAnsi="Calibri" w:cs="Calibri"/>
          <w:sz w:val="24"/>
          <w:szCs w:val="24"/>
        </w:rPr>
        <w:t xml:space="preserve"> </w:t>
      </w:r>
    </w:p>
    <w:p w14:paraId="709D5DC8" w14:textId="6F43EE34" w:rsidR="00CD76BC" w:rsidRDefault="00CD76BC" w:rsidP="004811D2">
      <w:pPr>
        <w:kinsoku w:val="0"/>
        <w:overflowPunct w:val="0"/>
        <w:autoSpaceDE w:val="0"/>
        <w:autoSpaceDN w:val="0"/>
        <w:adjustRightInd w:val="0"/>
        <w:spacing w:before="120" w:after="0" w:line="240" w:lineRule="auto"/>
        <w:ind w:right="29"/>
        <w:jc w:val="both"/>
        <w:rPr>
          <w:rFonts w:ascii="Calibri" w:hAnsi="Calibri" w:cs="Calibri"/>
          <w:sz w:val="24"/>
          <w:szCs w:val="24"/>
        </w:rPr>
      </w:pPr>
      <w:r>
        <w:rPr>
          <w:rFonts w:ascii="Calibri" w:hAnsi="Calibri" w:cs="Calibri"/>
          <w:sz w:val="24"/>
          <w:szCs w:val="24"/>
        </w:rPr>
        <w:t>Under the scope of</w:t>
      </w:r>
      <w:r w:rsidR="004E10B0">
        <w:rPr>
          <w:rFonts w:ascii="Calibri" w:hAnsi="Calibri" w:cs="Calibri"/>
          <w:sz w:val="24"/>
          <w:szCs w:val="24"/>
        </w:rPr>
        <w:t xml:space="preserve"> the</w:t>
      </w:r>
      <w:r w:rsidR="00BA1163">
        <w:rPr>
          <w:rFonts w:ascii="Calibri" w:hAnsi="Calibri" w:cs="Calibri"/>
          <w:sz w:val="24"/>
          <w:szCs w:val="24"/>
        </w:rPr>
        <w:t xml:space="preserve"> </w:t>
      </w:r>
      <w:r>
        <w:rPr>
          <w:rFonts w:ascii="Calibri" w:hAnsi="Calibri" w:cs="Calibri"/>
          <w:sz w:val="24"/>
          <w:szCs w:val="24"/>
        </w:rPr>
        <w:t>CNP</w:t>
      </w:r>
      <w:r w:rsidR="00BA1163">
        <w:rPr>
          <w:rFonts w:ascii="Calibri" w:hAnsi="Calibri" w:cs="Calibri"/>
          <w:sz w:val="24"/>
          <w:szCs w:val="24"/>
        </w:rPr>
        <w:t>-</w:t>
      </w:r>
      <w:r>
        <w:rPr>
          <w:rFonts w:ascii="Calibri" w:hAnsi="Calibri" w:cs="Calibri"/>
          <w:sz w:val="24"/>
          <w:szCs w:val="24"/>
        </w:rPr>
        <w:t xml:space="preserve">ll, the project </w:t>
      </w:r>
      <w:r w:rsidR="00BA1163">
        <w:rPr>
          <w:rFonts w:ascii="Calibri" w:hAnsi="Calibri" w:cs="Calibri"/>
          <w:sz w:val="24"/>
          <w:szCs w:val="24"/>
        </w:rPr>
        <w:t>may</w:t>
      </w:r>
      <w:r>
        <w:rPr>
          <w:rFonts w:ascii="Calibri" w:hAnsi="Calibri" w:cs="Calibri"/>
          <w:sz w:val="24"/>
          <w:szCs w:val="24"/>
        </w:rPr>
        <w:t xml:space="preserve"> finance </w:t>
      </w:r>
      <w:r w:rsidR="00BA1163">
        <w:rPr>
          <w:rFonts w:ascii="Calibri" w:hAnsi="Calibri" w:cs="Calibri"/>
          <w:sz w:val="24"/>
          <w:szCs w:val="24"/>
        </w:rPr>
        <w:t xml:space="preserve">procurement of </w:t>
      </w:r>
      <w:r>
        <w:rPr>
          <w:rFonts w:ascii="Calibri" w:hAnsi="Calibri" w:cs="Calibri"/>
          <w:sz w:val="24"/>
          <w:szCs w:val="24"/>
        </w:rPr>
        <w:t xml:space="preserve">a small quality of Information and Communication Technology (ICT) facilities </w:t>
      </w:r>
      <w:r w:rsidR="00AC1AFB">
        <w:rPr>
          <w:rFonts w:ascii="Calibri" w:hAnsi="Calibri" w:cs="Calibri"/>
          <w:sz w:val="24"/>
          <w:szCs w:val="24"/>
        </w:rPr>
        <w:t xml:space="preserve">(approximately US$ 40,000) </w:t>
      </w:r>
      <w:r>
        <w:rPr>
          <w:rFonts w:ascii="Calibri" w:hAnsi="Calibri" w:cs="Calibri"/>
          <w:sz w:val="24"/>
          <w:szCs w:val="24"/>
        </w:rPr>
        <w:t>and hence the ESMP includes</w:t>
      </w:r>
      <w:r w:rsidR="00BA1163">
        <w:rPr>
          <w:rFonts w:ascii="Calibri" w:hAnsi="Calibri" w:cs="Calibri"/>
          <w:sz w:val="24"/>
          <w:szCs w:val="24"/>
        </w:rPr>
        <w:t xml:space="preserve"> an assessment of</w:t>
      </w:r>
      <w:r>
        <w:rPr>
          <w:rFonts w:ascii="Calibri" w:hAnsi="Calibri" w:cs="Calibri"/>
          <w:sz w:val="24"/>
          <w:szCs w:val="24"/>
        </w:rPr>
        <w:t xml:space="preserve"> risks associated with the end-of-life disposal of ICT facilities and a simple E</w:t>
      </w:r>
      <w:r w:rsidR="00F91804">
        <w:rPr>
          <w:rFonts w:ascii="Calibri" w:hAnsi="Calibri" w:cs="Calibri"/>
          <w:sz w:val="24"/>
          <w:szCs w:val="24"/>
        </w:rPr>
        <w:t>nvironmental Code of Practic</w:t>
      </w:r>
      <w:r w:rsidR="00D041E6">
        <w:rPr>
          <w:rFonts w:ascii="Calibri" w:hAnsi="Calibri" w:cs="Calibri"/>
          <w:sz w:val="24"/>
          <w:szCs w:val="24"/>
        </w:rPr>
        <w:t>es (ECOP)</w:t>
      </w:r>
      <w:r>
        <w:rPr>
          <w:rFonts w:ascii="Calibri" w:hAnsi="Calibri" w:cs="Calibri"/>
          <w:sz w:val="24"/>
          <w:szCs w:val="24"/>
        </w:rPr>
        <w:t xml:space="preserve"> for electric waste management and disposal is integrated as part of the ESMP</w:t>
      </w:r>
      <w:r w:rsidR="00BA1163">
        <w:rPr>
          <w:rFonts w:ascii="Calibri" w:hAnsi="Calibri" w:cs="Calibri"/>
          <w:sz w:val="24"/>
          <w:szCs w:val="24"/>
        </w:rPr>
        <w:t xml:space="preserve"> for CNP-II.</w:t>
      </w:r>
      <w:r>
        <w:rPr>
          <w:rFonts w:ascii="Calibri" w:hAnsi="Calibri" w:cs="Calibri"/>
          <w:sz w:val="24"/>
          <w:szCs w:val="24"/>
        </w:rPr>
        <w:t xml:space="preserve"> </w:t>
      </w:r>
    </w:p>
    <w:p w14:paraId="1B71B27F" w14:textId="0D5A98FC" w:rsidR="00106405" w:rsidRDefault="00106405" w:rsidP="004811D2">
      <w:pPr>
        <w:pStyle w:val="ListParagraph"/>
        <w:numPr>
          <w:ilvl w:val="1"/>
          <w:numId w:val="59"/>
        </w:numPr>
        <w:kinsoku w:val="0"/>
        <w:overflowPunct w:val="0"/>
        <w:spacing w:before="178"/>
        <w:ind w:left="0" w:right="30" w:firstLine="0"/>
        <w:jc w:val="both"/>
        <w:rPr>
          <w:b/>
          <w:bCs/>
          <w:sz w:val="28"/>
          <w:szCs w:val="28"/>
        </w:rPr>
      </w:pPr>
      <w:r>
        <w:br w:type="page"/>
      </w:r>
      <w:r>
        <w:rPr>
          <w:b/>
          <w:bCs/>
          <w:sz w:val="28"/>
          <w:szCs w:val="28"/>
        </w:rPr>
        <w:lastRenderedPageBreak/>
        <w:t>CONSULTATIONS AND DISCLOSURE</w:t>
      </w:r>
    </w:p>
    <w:p w14:paraId="3F6A45F3" w14:textId="0C69F869" w:rsidR="00600B2A" w:rsidRPr="00496ED1" w:rsidRDefault="00600B2A" w:rsidP="00EE2BC2">
      <w:pPr>
        <w:kinsoku w:val="0"/>
        <w:overflowPunct w:val="0"/>
        <w:spacing w:before="178"/>
        <w:ind w:left="220" w:right="30"/>
        <w:jc w:val="both"/>
        <w:rPr>
          <w:sz w:val="24"/>
          <w:szCs w:val="24"/>
        </w:rPr>
      </w:pPr>
      <w:r w:rsidRPr="00496ED1">
        <w:rPr>
          <w:sz w:val="24"/>
          <w:szCs w:val="24"/>
        </w:rPr>
        <w:t>The stakeholders</w:t>
      </w:r>
      <w:r w:rsidR="000A24E3" w:rsidRPr="00496ED1">
        <w:rPr>
          <w:sz w:val="24"/>
          <w:szCs w:val="24"/>
        </w:rPr>
        <w:t>’</w:t>
      </w:r>
      <w:r w:rsidRPr="00496ED1">
        <w:rPr>
          <w:sz w:val="24"/>
          <w:szCs w:val="24"/>
        </w:rPr>
        <w:t xml:space="preserve"> consultation workshop w</w:t>
      </w:r>
      <w:r w:rsidR="002F1FD1" w:rsidRPr="00496ED1">
        <w:rPr>
          <w:sz w:val="24"/>
          <w:szCs w:val="24"/>
        </w:rPr>
        <w:t>ill be held on 20</w:t>
      </w:r>
      <w:r w:rsidR="002F1FD1" w:rsidRPr="00496ED1">
        <w:rPr>
          <w:sz w:val="24"/>
          <w:szCs w:val="24"/>
          <w:vertAlign w:val="superscript"/>
        </w:rPr>
        <w:t>th</w:t>
      </w:r>
      <w:r w:rsidR="002F1FD1" w:rsidRPr="00496ED1">
        <w:rPr>
          <w:sz w:val="24"/>
          <w:szCs w:val="24"/>
        </w:rPr>
        <w:t xml:space="preserve"> December 2021 through virtual conference using Zoom with 93 participants from national and subnational administrations. The purpose of this workshop is to </w:t>
      </w:r>
      <w:r w:rsidR="009104B2" w:rsidRPr="00496ED1">
        <w:rPr>
          <w:sz w:val="24"/>
          <w:szCs w:val="24"/>
        </w:rPr>
        <w:t xml:space="preserve">consult </w:t>
      </w:r>
      <w:r w:rsidR="002F1FD1" w:rsidRPr="00496ED1">
        <w:rPr>
          <w:sz w:val="24"/>
          <w:szCs w:val="24"/>
        </w:rPr>
        <w:t xml:space="preserve">the drafted </w:t>
      </w:r>
      <w:r w:rsidR="009104B2" w:rsidRPr="00496ED1">
        <w:rPr>
          <w:sz w:val="24"/>
          <w:szCs w:val="24"/>
        </w:rPr>
        <w:t xml:space="preserve">EMP, SEP, ESCP and IPPF and to obtain comments/suggestions for improvement and finalization. </w:t>
      </w:r>
      <w:r w:rsidR="0059586C" w:rsidRPr="00496ED1">
        <w:rPr>
          <w:sz w:val="24"/>
          <w:szCs w:val="24"/>
        </w:rPr>
        <w:t xml:space="preserve">These drafts were posted in NCDDs website on 14 December 2021. </w:t>
      </w:r>
      <w:r w:rsidR="002F1FD1" w:rsidRPr="00496ED1">
        <w:rPr>
          <w:sz w:val="24"/>
          <w:szCs w:val="24"/>
        </w:rPr>
        <w:t xml:space="preserve">  </w:t>
      </w:r>
      <w:r w:rsidRPr="00496ED1">
        <w:rPr>
          <w:sz w:val="24"/>
          <w:szCs w:val="24"/>
        </w:rPr>
        <w:t xml:space="preserve"> </w:t>
      </w:r>
    </w:p>
    <w:p w14:paraId="2F3C3741" w14:textId="31844F40" w:rsidR="003D28B1" w:rsidRDefault="394951B6" w:rsidP="00EE2BC2">
      <w:pPr>
        <w:kinsoku w:val="0"/>
        <w:overflowPunct w:val="0"/>
        <w:spacing w:before="178"/>
        <w:ind w:left="220" w:right="30"/>
        <w:jc w:val="both"/>
        <w:rPr>
          <w:sz w:val="24"/>
          <w:szCs w:val="24"/>
        </w:rPr>
      </w:pPr>
      <w:r w:rsidRPr="00634DDD">
        <w:rPr>
          <w:sz w:val="24"/>
          <w:szCs w:val="24"/>
        </w:rPr>
        <w:t xml:space="preserve">Under CNP-I, public consultation on preparation of draft EMP and IPPF was conducted by the MOH on October 18, 2018 in Phnom Penh with the objectives to communicate with key stakeholders the preparation of draft EMP and IPPF as well as to receive comments/suggestions for improvement. Under CNP-II, NCDDS is planning public consultations on project activities and relevant environmental and social management measures on </w:t>
      </w:r>
      <w:r w:rsidR="000360E8" w:rsidRPr="00634DDD">
        <w:rPr>
          <w:sz w:val="24"/>
          <w:szCs w:val="24"/>
        </w:rPr>
        <w:t>20</w:t>
      </w:r>
      <w:r w:rsidR="000360E8" w:rsidRPr="00634DDD">
        <w:rPr>
          <w:sz w:val="24"/>
          <w:szCs w:val="24"/>
          <w:vertAlign w:val="superscript"/>
        </w:rPr>
        <w:t>th</w:t>
      </w:r>
      <w:r w:rsidR="000360E8" w:rsidRPr="00634DDD">
        <w:rPr>
          <w:sz w:val="24"/>
          <w:szCs w:val="24"/>
        </w:rPr>
        <w:t xml:space="preserve"> December 2021</w:t>
      </w:r>
      <w:r w:rsidRPr="00634DDD">
        <w:rPr>
          <w:rFonts w:ascii="Calibri" w:hAnsi="Calibri" w:cs="Calibri"/>
          <w:sz w:val="24"/>
          <w:szCs w:val="24"/>
        </w:rPr>
        <w:t xml:space="preserve">. Relevant project documents, including the ESMP and its associated instruments such as a Stakeholder Engagement Plan (SEP), </w:t>
      </w:r>
      <w:r w:rsidR="15A81CF1" w:rsidRPr="00634DDD">
        <w:rPr>
          <w:rFonts w:ascii="Calibri" w:hAnsi="Calibri" w:cs="Calibri"/>
          <w:sz w:val="24"/>
          <w:szCs w:val="24"/>
        </w:rPr>
        <w:t xml:space="preserve">Indigenous Peoples Planning Framework (IPPF) and Environmental and Social Commitment Plan (ESCP) are disclosed on </w:t>
      </w:r>
      <w:r w:rsidR="000E277D" w:rsidRPr="00634DDD">
        <w:rPr>
          <w:rFonts w:ascii="Calibri" w:hAnsi="Calibri" w:cs="Calibri"/>
          <w:sz w:val="24"/>
          <w:szCs w:val="24"/>
        </w:rPr>
        <w:t>NCDDs website</w:t>
      </w:r>
      <w:r w:rsidR="000A24E3" w:rsidRPr="00634DDD">
        <w:rPr>
          <w:rFonts w:ascii="Calibri" w:hAnsi="Calibri" w:cs="Calibri"/>
          <w:sz w:val="24"/>
          <w:szCs w:val="24"/>
        </w:rPr>
        <w:t xml:space="preserve">: </w:t>
      </w:r>
      <w:r w:rsidR="00F02537" w:rsidRPr="00634DDD">
        <w:rPr>
          <w:rFonts w:ascii="Calibri" w:hAnsi="Calibri" w:cs="Khmer UI"/>
          <w:b/>
          <w:bCs/>
          <w:color w:val="4472C4" w:themeColor="accent1"/>
          <w:sz w:val="24"/>
          <w:szCs w:val="39"/>
          <w:lang w:bidi="km-KH"/>
        </w:rPr>
        <w:t>h</w:t>
      </w:r>
      <w:r w:rsidR="00634DDD">
        <w:rPr>
          <w:rFonts w:ascii="Calibri" w:hAnsi="Calibri" w:cs="Khmer UI"/>
          <w:b/>
          <w:bCs/>
          <w:color w:val="4472C4" w:themeColor="accent1"/>
          <w:sz w:val="24"/>
          <w:szCs w:val="39"/>
          <w:lang w:bidi="km-KH"/>
        </w:rPr>
        <w:t>ttp:</w:t>
      </w:r>
      <w:r w:rsidR="00F02537" w:rsidRPr="00634DDD">
        <w:rPr>
          <w:rFonts w:ascii="Calibri" w:hAnsi="Calibri" w:cs="Khmer UI"/>
          <w:b/>
          <w:bCs/>
          <w:color w:val="4472C4" w:themeColor="accent1"/>
          <w:sz w:val="24"/>
          <w:szCs w:val="39"/>
          <w:lang w:bidi="km-KH"/>
        </w:rPr>
        <w:t>//</w:t>
      </w:r>
      <w:r w:rsidR="000A24E3" w:rsidRPr="00634DDD">
        <w:rPr>
          <w:rFonts w:ascii="Calibri" w:hAnsi="Calibri" w:cs="Calibri"/>
          <w:b/>
          <w:bCs/>
          <w:color w:val="4472C4" w:themeColor="accent1"/>
          <w:sz w:val="24"/>
          <w:szCs w:val="24"/>
        </w:rPr>
        <w:t>www.ncdd.gov</w:t>
      </w:r>
      <w:r w:rsidR="00996CA0" w:rsidRPr="00634DDD">
        <w:rPr>
          <w:rFonts w:ascii="Calibri" w:hAnsi="Calibri" w:cs="Calibri"/>
          <w:b/>
          <w:bCs/>
          <w:color w:val="4472C4" w:themeColor="accent1"/>
          <w:sz w:val="24"/>
          <w:szCs w:val="24"/>
        </w:rPr>
        <w:t>/projects/cnp</w:t>
      </w:r>
      <w:r w:rsidR="009D5CF6">
        <w:rPr>
          <w:rFonts w:ascii="Calibri" w:hAnsi="Calibri" w:cs="Calibri"/>
          <w:b/>
          <w:bCs/>
          <w:color w:val="4472C4" w:themeColor="accent1"/>
          <w:sz w:val="24"/>
          <w:szCs w:val="24"/>
        </w:rPr>
        <w:t>/</w:t>
      </w:r>
      <w:r w:rsidR="15A81CF1" w:rsidRPr="00634DDD">
        <w:rPr>
          <w:rFonts w:ascii="Calibri" w:hAnsi="Calibri" w:cs="Calibri"/>
          <w:color w:val="4472C4" w:themeColor="accent1"/>
          <w:sz w:val="24"/>
          <w:szCs w:val="24"/>
        </w:rPr>
        <w:t xml:space="preserve"> </w:t>
      </w:r>
      <w:r w:rsidR="009552BB" w:rsidRPr="00634DDD">
        <w:rPr>
          <w:rFonts w:ascii="Calibri" w:hAnsi="Calibri" w:cs="Calibri"/>
          <w:sz w:val="24"/>
          <w:szCs w:val="24"/>
        </w:rPr>
        <w:t xml:space="preserve">(cite the website) </w:t>
      </w:r>
      <w:r w:rsidR="15A81CF1" w:rsidRPr="00634DDD">
        <w:rPr>
          <w:rFonts w:ascii="Calibri" w:hAnsi="Calibri" w:cs="Calibri"/>
          <w:sz w:val="24"/>
          <w:szCs w:val="24"/>
        </w:rPr>
        <w:t xml:space="preserve">and their summaries are available in both Khmer and English language. </w:t>
      </w:r>
      <w:r w:rsidR="19AD4675" w:rsidRPr="00634DDD">
        <w:rPr>
          <w:rFonts w:ascii="Calibri" w:hAnsi="Calibri" w:cs="Calibri"/>
          <w:sz w:val="24"/>
          <w:szCs w:val="24"/>
        </w:rPr>
        <w:t>A summary of public consultations is appended in Annex 9.</w:t>
      </w:r>
    </w:p>
    <w:p w14:paraId="0070267E" w14:textId="698161F9" w:rsidR="00333352" w:rsidRDefault="00333352" w:rsidP="00EE2BC2">
      <w:pPr>
        <w:kinsoku w:val="0"/>
        <w:overflowPunct w:val="0"/>
        <w:spacing w:before="178"/>
        <w:ind w:left="220" w:right="30"/>
        <w:jc w:val="both"/>
        <w:rPr>
          <w:sz w:val="24"/>
          <w:szCs w:val="24"/>
        </w:rPr>
      </w:pPr>
    </w:p>
    <w:p w14:paraId="184192BA" w14:textId="77777777" w:rsidR="00333352" w:rsidRDefault="00333352" w:rsidP="00333352">
      <w:pPr>
        <w:kinsoku w:val="0"/>
        <w:overflowPunct w:val="0"/>
        <w:autoSpaceDE w:val="0"/>
        <w:autoSpaceDN w:val="0"/>
        <w:adjustRightInd w:val="0"/>
        <w:spacing w:before="10" w:after="0" w:line="240" w:lineRule="auto"/>
        <w:ind w:right="30"/>
        <w:jc w:val="both"/>
        <w:rPr>
          <w:rFonts w:ascii="Calibri" w:hAnsi="Calibri" w:cs="Calibri"/>
          <w:sz w:val="19"/>
          <w:szCs w:val="19"/>
        </w:rPr>
      </w:pPr>
    </w:p>
    <w:p w14:paraId="23988220" w14:textId="77777777" w:rsidR="00333352" w:rsidRPr="002746B5" w:rsidRDefault="00333352" w:rsidP="002746B5">
      <w:pPr>
        <w:kinsoku w:val="0"/>
        <w:overflowPunct w:val="0"/>
        <w:spacing w:before="178"/>
        <w:ind w:left="220" w:right="30"/>
        <w:jc w:val="both"/>
      </w:pPr>
    </w:p>
    <w:p w14:paraId="34B58811" w14:textId="77777777" w:rsidR="00F9683D" w:rsidRDefault="00F9683D" w:rsidP="00F9683D">
      <w:pPr>
        <w:kinsoku w:val="0"/>
        <w:overflowPunct w:val="0"/>
        <w:autoSpaceDE w:val="0"/>
        <w:autoSpaceDN w:val="0"/>
        <w:adjustRightInd w:val="0"/>
        <w:spacing w:after="0" w:line="240" w:lineRule="auto"/>
        <w:ind w:left="239" w:right="30"/>
        <w:jc w:val="both"/>
        <w:rPr>
          <w:rFonts w:ascii="Calibri" w:hAnsi="Calibri" w:cs="Calibri"/>
          <w:sz w:val="24"/>
          <w:szCs w:val="24"/>
        </w:rPr>
      </w:pPr>
    </w:p>
    <w:p w14:paraId="48AC4575" w14:textId="77777777" w:rsidR="00A567DA" w:rsidRDefault="00A567DA">
      <w:pPr>
        <w:rPr>
          <w:rFonts w:ascii="Calibri" w:hAnsi="Calibri" w:cs="Calibri"/>
          <w:sz w:val="24"/>
          <w:szCs w:val="24"/>
        </w:rPr>
      </w:pPr>
      <w:r>
        <w:rPr>
          <w:rFonts w:ascii="Calibri" w:hAnsi="Calibri" w:cs="Calibri"/>
          <w:sz w:val="24"/>
          <w:szCs w:val="24"/>
        </w:rPr>
        <w:br w:type="page"/>
      </w:r>
    </w:p>
    <w:p w14:paraId="25A86D22" w14:textId="77777777" w:rsidR="00B4670F" w:rsidRPr="00B4670F" w:rsidRDefault="00B4670F" w:rsidP="00CE606A">
      <w:pPr>
        <w:kinsoku w:val="0"/>
        <w:overflowPunct w:val="0"/>
        <w:autoSpaceDE w:val="0"/>
        <w:autoSpaceDN w:val="0"/>
        <w:adjustRightInd w:val="0"/>
        <w:spacing w:before="7" w:after="0" w:line="240" w:lineRule="auto"/>
        <w:ind w:right="30"/>
        <w:jc w:val="both"/>
        <w:rPr>
          <w:rFonts w:ascii="Calibri" w:hAnsi="Calibri" w:cs="Calibri"/>
          <w:sz w:val="19"/>
          <w:szCs w:val="19"/>
        </w:rPr>
      </w:pPr>
    </w:p>
    <w:p w14:paraId="3B6447B2" w14:textId="4408EFE1" w:rsidR="00B4670F" w:rsidRPr="00B4670F" w:rsidRDefault="00B4670F" w:rsidP="004811D2">
      <w:pPr>
        <w:kinsoku w:val="0"/>
        <w:overflowPunct w:val="0"/>
        <w:autoSpaceDE w:val="0"/>
        <w:autoSpaceDN w:val="0"/>
        <w:adjustRightInd w:val="0"/>
        <w:spacing w:before="4" w:after="0" w:line="240" w:lineRule="auto"/>
        <w:ind w:right="30"/>
        <w:jc w:val="both"/>
        <w:outlineLvl w:val="0"/>
        <w:rPr>
          <w:rFonts w:ascii="Calibri" w:hAnsi="Calibri" w:cs="Calibri"/>
          <w:b/>
          <w:bCs/>
          <w:sz w:val="28"/>
          <w:szCs w:val="28"/>
        </w:rPr>
      </w:pPr>
      <w:bookmarkStart w:id="6" w:name="_bookmark4"/>
      <w:bookmarkEnd w:id="6"/>
      <w:r w:rsidRPr="00B4670F">
        <w:rPr>
          <w:rFonts w:ascii="Calibri" w:hAnsi="Calibri" w:cs="Calibri"/>
          <w:b/>
          <w:bCs/>
          <w:sz w:val="28"/>
          <w:szCs w:val="28"/>
        </w:rPr>
        <w:t>2.</w:t>
      </w:r>
      <w:r w:rsidRPr="00B4670F">
        <w:rPr>
          <w:rFonts w:ascii="Calibri" w:hAnsi="Calibri" w:cs="Calibri"/>
          <w:b/>
          <w:bCs/>
          <w:spacing w:val="-2"/>
          <w:sz w:val="28"/>
          <w:szCs w:val="28"/>
        </w:rPr>
        <w:t xml:space="preserve"> </w:t>
      </w:r>
      <w:r w:rsidRPr="00B4670F">
        <w:rPr>
          <w:rFonts w:ascii="Calibri" w:hAnsi="Calibri" w:cs="Calibri"/>
          <w:b/>
          <w:bCs/>
          <w:sz w:val="28"/>
          <w:szCs w:val="28"/>
        </w:rPr>
        <w:t>POLIC</w:t>
      </w:r>
      <w:r w:rsidR="00A05462">
        <w:rPr>
          <w:rFonts w:ascii="Calibri" w:hAnsi="Calibri" w:cs="Calibri"/>
          <w:b/>
          <w:bCs/>
          <w:sz w:val="28"/>
          <w:szCs w:val="28"/>
        </w:rPr>
        <w:t>Y</w:t>
      </w:r>
      <w:r w:rsidRPr="00B4670F">
        <w:rPr>
          <w:rFonts w:ascii="Calibri" w:hAnsi="Calibri" w:cs="Calibri"/>
          <w:b/>
          <w:bCs/>
          <w:spacing w:val="-3"/>
          <w:sz w:val="28"/>
          <w:szCs w:val="28"/>
        </w:rPr>
        <w:t xml:space="preserve"> </w:t>
      </w:r>
      <w:r w:rsidRPr="00B4670F">
        <w:rPr>
          <w:rFonts w:ascii="Calibri" w:hAnsi="Calibri" w:cs="Calibri"/>
          <w:b/>
          <w:bCs/>
          <w:sz w:val="28"/>
          <w:szCs w:val="28"/>
        </w:rPr>
        <w:t xml:space="preserve">AND </w:t>
      </w:r>
      <w:r w:rsidR="00A05462">
        <w:rPr>
          <w:rFonts w:ascii="Calibri" w:hAnsi="Calibri" w:cs="Calibri"/>
          <w:b/>
          <w:bCs/>
          <w:sz w:val="28"/>
          <w:szCs w:val="28"/>
        </w:rPr>
        <w:t>REGULATORY</w:t>
      </w:r>
      <w:r w:rsidR="00A05462" w:rsidRPr="00B4670F">
        <w:rPr>
          <w:rFonts w:ascii="Calibri" w:hAnsi="Calibri" w:cs="Calibri"/>
          <w:b/>
          <w:bCs/>
          <w:spacing w:val="-1"/>
          <w:sz w:val="28"/>
          <w:szCs w:val="28"/>
        </w:rPr>
        <w:t xml:space="preserve"> </w:t>
      </w:r>
      <w:r w:rsidRPr="00B4670F">
        <w:rPr>
          <w:rFonts w:ascii="Calibri" w:hAnsi="Calibri" w:cs="Calibri"/>
          <w:b/>
          <w:bCs/>
          <w:sz w:val="28"/>
          <w:szCs w:val="28"/>
        </w:rPr>
        <w:t>FRAMEWORK</w:t>
      </w:r>
      <w:r w:rsidRPr="00B4670F">
        <w:rPr>
          <w:rFonts w:ascii="Calibri" w:hAnsi="Calibri" w:cs="Calibri"/>
          <w:b/>
          <w:bCs/>
          <w:spacing w:val="1"/>
          <w:sz w:val="28"/>
          <w:szCs w:val="28"/>
        </w:rPr>
        <w:t xml:space="preserve"> </w:t>
      </w:r>
      <w:r w:rsidRPr="00B4670F">
        <w:rPr>
          <w:rFonts w:ascii="Calibri" w:hAnsi="Calibri" w:cs="Calibri"/>
          <w:b/>
          <w:bCs/>
          <w:sz w:val="28"/>
          <w:szCs w:val="28"/>
        </w:rPr>
        <w:t>APPLICABLE</w:t>
      </w:r>
      <w:r w:rsidRPr="00B4670F">
        <w:rPr>
          <w:rFonts w:ascii="Calibri" w:hAnsi="Calibri" w:cs="Calibri"/>
          <w:b/>
          <w:bCs/>
          <w:spacing w:val="-2"/>
          <w:sz w:val="28"/>
          <w:szCs w:val="28"/>
        </w:rPr>
        <w:t xml:space="preserve"> </w:t>
      </w:r>
      <w:r w:rsidRPr="00B4670F">
        <w:rPr>
          <w:rFonts w:ascii="Calibri" w:hAnsi="Calibri" w:cs="Calibri"/>
          <w:b/>
          <w:bCs/>
          <w:sz w:val="28"/>
          <w:szCs w:val="28"/>
        </w:rPr>
        <w:t>TO</w:t>
      </w:r>
      <w:r w:rsidRPr="00B4670F">
        <w:rPr>
          <w:rFonts w:ascii="Calibri" w:hAnsi="Calibri" w:cs="Calibri"/>
          <w:b/>
          <w:bCs/>
          <w:spacing w:val="-2"/>
          <w:sz w:val="28"/>
          <w:szCs w:val="28"/>
        </w:rPr>
        <w:t xml:space="preserve"> </w:t>
      </w:r>
      <w:r w:rsidRPr="00B4670F">
        <w:rPr>
          <w:rFonts w:ascii="Calibri" w:hAnsi="Calibri" w:cs="Calibri"/>
          <w:b/>
          <w:bCs/>
          <w:sz w:val="28"/>
          <w:szCs w:val="28"/>
        </w:rPr>
        <w:t>THE</w:t>
      </w:r>
      <w:r w:rsidRPr="00B4670F">
        <w:rPr>
          <w:rFonts w:ascii="Calibri" w:hAnsi="Calibri" w:cs="Calibri"/>
          <w:b/>
          <w:bCs/>
          <w:spacing w:val="-3"/>
          <w:sz w:val="28"/>
          <w:szCs w:val="28"/>
        </w:rPr>
        <w:t xml:space="preserve"> </w:t>
      </w:r>
      <w:r w:rsidRPr="00B4670F">
        <w:rPr>
          <w:rFonts w:ascii="Calibri" w:hAnsi="Calibri" w:cs="Calibri"/>
          <w:b/>
          <w:bCs/>
          <w:sz w:val="28"/>
          <w:szCs w:val="28"/>
        </w:rPr>
        <w:t>PROJECT</w:t>
      </w:r>
    </w:p>
    <w:p w14:paraId="111F5AA6" w14:textId="77777777" w:rsidR="00B4670F" w:rsidRPr="00B4670F" w:rsidRDefault="00B4670F" w:rsidP="004811D2">
      <w:pPr>
        <w:kinsoku w:val="0"/>
        <w:overflowPunct w:val="0"/>
        <w:autoSpaceDE w:val="0"/>
        <w:autoSpaceDN w:val="0"/>
        <w:adjustRightInd w:val="0"/>
        <w:spacing w:after="0" w:line="240" w:lineRule="auto"/>
        <w:ind w:right="30"/>
        <w:jc w:val="both"/>
        <w:rPr>
          <w:rFonts w:ascii="Calibri" w:hAnsi="Calibri" w:cs="Calibri"/>
          <w:b/>
          <w:bCs/>
          <w:sz w:val="20"/>
          <w:szCs w:val="20"/>
        </w:rPr>
      </w:pPr>
    </w:p>
    <w:p w14:paraId="694DB561" w14:textId="2577272C" w:rsidR="0033548B" w:rsidRDefault="00A567DA" w:rsidP="004811D2">
      <w:pPr>
        <w:tabs>
          <w:tab w:val="left" w:pos="720"/>
          <w:tab w:val="left" w:pos="1350"/>
          <w:tab w:val="left" w:pos="1710"/>
        </w:tabs>
        <w:spacing w:before="120" w:after="0" w:line="240" w:lineRule="auto"/>
        <w:ind w:right="30"/>
        <w:jc w:val="both"/>
        <w:rPr>
          <w:rFonts w:eastAsia="Calibri"/>
          <w:sz w:val="24"/>
          <w:szCs w:val="24"/>
        </w:rPr>
      </w:pPr>
      <w:r>
        <w:rPr>
          <w:rFonts w:eastAsia="Calibri"/>
          <w:sz w:val="24"/>
          <w:szCs w:val="24"/>
        </w:rPr>
        <w:t xml:space="preserve">The following section provides an assessment of the relevant </w:t>
      </w:r>
      <w:r w:rsidR="00E26940">
        <w:rPr>
          <w:rFonts w:eastAsia="Calibri"/>
          <w:sz w:val="24"/>
          <w:szCs w:val="24"/>
        </w:rPr>
        <w:t>policy and regulatory framework of the Kingdom of Cambodia and their relevance to CNP-II. The assessment also includes key gaps</w:t>
      </w:r>
      <w:r w:rsidR="00576263">
        <w:rPr>
          <w:rFonts w:eastAsia="Calibri"/>
          <w:sz w:val="24"/>
          <w:szCs w:val="24"/>
        </w:rPr>
        <w:t xml:space="preserve"> between the country’s policy and regulatory framework and applicable Environmental and S</w:t>
      </w:r>
      <w:r w:rsidR="00C165E2">
        <w:rPr>
          <w:rFonts w:eastAsia="Calibri"/>
          <w:sz w:val="24"/>
          <w:szCs w:val="24"/>
        </w:rPr>
        <w:t xml:space="preserve">ocial Standards (ESSs). Under the CNP-II projects, </w:t>
      </w:r>
      <w:r w:rsidR="00BC5267">
        <w:rPr>
          <w:rFonts w:eastAsia="Calibri"/>
          <w:sz w:val="24"/>
          <w:szCs w:val="24"/>
        </w:rPr>
        <w:t xml:space="preserve">the following </w:t>
      </w:r>
      <w:r w:rsidR="0033548B">
        <w:rPr>
          <w:rFonts w:eastAsia="Calibri"/>
          <w:sz w:val="24"/>
          <w:szCs w:val="24"/>
        </w:rPr>
        <w:t>legislations apply:</w:t>
      </w:r>
    </w:p>
    <w:p w14:paraId="4FAFEA34" w14:textId="3E027197" w:rsidR="0033548B" w:rsidRPr="002746B5" w:rsidRDefault="0033548B" w:rsidP="004811D2">
      <w:pPr>
        <w:pStyle w:val="ListParagraph"/>
        <w:numPr>
          <w:ilvl w:val="0"/>
          <w:numId w:val="61"/>
        </w:numPr>
        <w:tabs>
          <w:tab w:val="left" w:pos="360"/>
        </w:tabs>
        <w:spacing w:before="120"/>
        <w:ind w:left="360"/>
      </w:pPr>
      <w:r w:rsidRPr="00B4670F">
        <w:t>Sub-decree</w:t>
      </w:r>
      <w:r w:rsidRPr="0033548B">
        <w:rPr>
          <w:spacing w:val="-1"/>
        </w:rPr>
        <w:t xml:space="preserve"> </w:t>
      </w:r>
      <w:r w:rsidRPr="00B4670F">
        <w:t>on</w:t>
      </w:r>
      <w:r w:rsidRPr="0033548B">
        <w:rPr>
          <w:spacing w:val="-1"/>
        </w:rPr>
        <w:t xml:space="preserve"> </w:t>
      </w:r>
      <w:r w:rsidRPr="00B4670F">
        <w:t>solid</w:t>
      </w:r>
      <w:r w:rsidRPr="0033548B">
        <w:rPr>
          <w:spacing w:val="1"/>
        </w:rPr>
        <w:t xml:space="preserve"> </w:t>
      </w:r>
      <w:r w:rsidRPr="00B4670F">
        <w:t>waste</w:t>
      </w:r>
      <w:r w:rsidRPr="0033548B">
        <w:rPr>
          <w:spacing w:val="1"/>
        </w:rPr>
        <w:t xml:space="preserve"> </w:t>
      </w:r>
      <w:r w:rsidRPr="00B4670F">
        <w:t>management,</w:t>
      </w:r>
      <w:r w:rsidRPr="0033548B">
        <w:rPr>
          <w:spacing w:val="-2"/>
        </w:rPr>
        <w:t xml:space="preserve"> </w:t>
      </w:r>
      <w:r w:rsidRPr="00B4670F">
        <w:t>1999</w:t>
      </w:r>
    </w:p>
    <w:p w14:paraId="5B8E51F4" w14:textId="7ECC92B5" w:rsidR="0033548B" w:rsidRPr="002746B5" w:rsidRDefault="6F38A216" w:rsidP="004811D2">
      <w:pPr>
        <w:pStyle w:val="ListParagraph"/>
        <w:numPr>
          <w:ilvl w:val="0"/>
          <w:numId w:val="61"/>
        </w:numPr>
        <w:tabs>
          <w:tab w:val="left" w:pos="360"/>
        </w:tabs>
        <w:spacing w:before="120"/>
        <w:ind w:left="360"/>
      </w:pPr>
      <w:r>
        <w:t>Law on Environmental protection and natural resources management, 1996</w:t>
      </w:r>
    </w:p>
    <w:p w14:paraId="340D48D9" w14:textId="69F0BC70" w:rsidR="0033548B" w:rsidRDefault="6F38A216" w:rsidP="004811D2">
      <w:pPr>
        <w:pStyle w:val="ListParagraph"/>
        <w:numPr>
          <w:ilvl w:val="0"/>
          <w:numId w:val="61"/>
        </w:numPr>
        <w:tabs>
          <w:tab w:val="left" w:pos="360"/>
        </w:tabs>
        <w:spacing w:before="120"/>
        <w:ind w:left="360"/>
      </w:pPr>
      <w:r>
        <w:t>Policy on Environmental and Social Safeguards for Sub-National Democratic Development, 2019</w:t>
      </w:r>
    </w:p>
    <w:p w14:paraId="537A0E4C" w14:textId="7A0F5D03" w:rsidR="002C6E2C" w:rsidRDefault="002C6E2C" w:rsidP="004811D2">
      <w:pPr>
        <w:spacing w:before="120"/>
        <w:rPr>
          <w:sz w:val="24"/>
          <w:szCs w:val="24"/>
        </w:rPr>
      </w:pPr>
      <w:r w:rsidRPr="002746B5">
        <w:rPr>
          <w:sz w:val="24"/>
          <w:szCs w:val="24"/>
        </w:rPr>
        <w:t>Under CNP-II</w:t>
      </w:r>
      <w:r>
        <w:rPr>
          <w:sz w:val="24"/>
          <w:szCs w:val="24"/>
        </w:rPr>
        <w:t xml:space="preserve">, the following </w:t>
      </w:r>
      <w:r w:rsidR="00613116">
        <w:rPr>
          <w:sz w:val="24"/>
          <w:szCs w:val="24"/>
        </w:rPr>
        <w:t>ESS are applicable</w:t>
      </w:r>
      <w:r w:rsidR="00E66A52">
        <w:rPr>
          <w:sz w:val="24"/>
          <w:szCs w:val="24"/>
        </w:rPr>
        <w:t>:</w:t>
      </w:r>
      <w:r w:rsidR="00613116">
        <w:rPr>
          <w:sz w:val="24"/>
          <w:szCs w:val="24"/>
        </w:rPr>
        <w:t xml:space="preserve"> </w:t>
      </w:r>
    </w:p>
    <w:p w14:paraId="3A70352D" w14:textId="76241FFD" w:rsidR="00AA667C" w:rsidRPr="002746B5" w:rsidRDefault="00B07B75" w:rsidP="004811D2">
      <w:pPr>
        <w:pStyle w:val="ListParagraph"/>
        <w:numPr>
          <w:ilvl w:val="0"/>
          <w:numId w:val="62"/>
        </w:numPr>
        <w:spacing w:before="120"/>
        <w:ind w:left="360"/>
      </w:pPr>
      <w:r>
        <w:t xml:space="preserve">ESS1: </w:t>
      </w:r>
      <w:r w:rsidRPr="001B3941">
        <w:rPr>
          <w:rFonts w:eastAsia="Calibri"/>
        </w:rPr>
        <w:t>Assessment and Management of Environmental and Social Risks and Impacts</w:t>
      </w:r>
    </w:p>
    <w:p w14:paraId="62EC2851" w14:textId="7991DECF" w:rsidR="00B07B75" w:rsidRPr="002746B5" w:rsidRDefault="00B07B75" w:rsidP="004811D2">
      <w:pPr>
        <w:pStyle w:val="ListParagraph"/>
        <w:numPr>
          <w:ilvl w:val="0"/>
          <w:numId w:val="62"/>
        </w:numPr>
        <w:spacing w:before="120"/>
        <w:ind w:left="360"/>
      </w:pPr>
      <w:r>
        <w:t xml:space="preserve">ESS2: </w:t>
      </w:r>
      <w:r w:rsidRPr="001B3941">
        <w:rPr>
          <w:rFonts w:eastAsia="Calibri"/>
        </w:rPr>
        <w:t>Labor and Working Conditions</w:t>
      </w:r>
    </w:p>
    <w:p w14:paraId="6C1DB43E" w14:textId="144AA20A" w:rsidR="00B07B75" w:rsidRPr="002746B5" w:rsidRDefault="00B07B75" w:rsidP="004811D2">
      <w:pPr>
        <w:pStyle w:val="ListParagraph"/>
        <w:numPr>
          <w:ilvl w:val="0"/>
          <w:numId w:val="62"/>
        </w:numPr>
        <w:spacing w:before="120"/>
        <w:ind w:left="360"/>
      </w:pPr>
      <w:r>
        <w:t xml:space="preserve">ESS3: </w:t>
      </w:r>
      <w:r w:rsidRPr="001B3941">
        <w:rPr>
          <w:rFonts w:eastAsia="Calibri"/>
        </w:rPr>
        <w:t>Resource Efficiency and Pollution Prevention and Management</w:t>
      </w:r>
    </w:p>
    <w:p w14:paraId="0E370C36" w14:textId="7261BC9A" w:rsidR="00B07B75" w:rsidRPr="002746B5" w:rsidRDefault="00B07B75" w:rsidP="004811D2">
      <w:pPr>
        <w:pStyle w:val="ListParagraph"/>
        <w:numPr>
          <w:ilvl w:val="0"/>
          <w:numId w:val="62"/>
        </w:numPr>
        <w:spacing w:before="120"/>
        <w:ind w:left="360"/>
      </w:pPr>
      <w:r>
        <w:t xml:space="preserve">ESS4: </w:t>
      </w:r>
      <w:r w:rsidRPr="001B3941">
        <w:rPr>
          <w:rFonts w:eastAsia="Calibri"/>
        </w:rPr>
        <w:t>Community Health and Safety</w:t>
      </w:r>
    </w:p>
    <w:p w14:paraId="2A8D50A4" w14:textId="4EB79549" w:rsidR="00B07B75" w:rsidRPr="002746B5" w:rsidRDefault="00B07B75" w:rsidP="004811D2">
      <w:pPr>
        <w:pStyle w:val="ListParagraph"/>
        <w:numPr>
          <w:ilvl w:val="0"/>
          <w:numId w:val="62"/>
        </w:numPr>
        <w:spacing w:before="120"/>
        <w:ind w:left="360"/>
      </w:pPr>
      <w:r>
        <w:t xml:space="preserve">ESS7: </w:t>
      </w:r>
      <w:r w:rsidRPr="001B3941">
        <w:rPr>
          <w:rFonts w:eastAsia="Calibri"/>
        </w:rPr>
        <w:t>Indigenous People</w:t>
      </w:r>
      <w:r>
        <w:rPr>
          <w:rFonts w:eastAsia="Calibri"/>
        </w:rPr>
        <w:t>s</w:t>
      </w:r>
    </w:p>
    <w:p w14:paraId="73E6F5EC" w14:textId="6CB94426" w:rsidR="00B07B75" w:rsidRPr="002746B5" w:rsidRDefault="00B07B75" w:rsidP="004811D2">
      <w:pPr>
        <w:pStyle w:val="ListParagraph"/>
        <w:numPr>
          <w:ilvl w:val="0"/>
          <w:numId w:val="62"/>
        </w:numPr>
        <w:spacing w:before="120"/>
        <w:ind w:left="360"/>
      </w:pPr>
      <w:r>
        <w:t xml:space="preserve">ESS8: </w:t>
      </w:r>
      <w:r w:rsidRPr="001B3941">
        <w:rPr>
          <w:rFonts w:eastAsia="Calibri"/>
        </w:rPr>
        <w:t>Stakeholder Engagement and Information Disclosure</w:t>
      </w:r>
    </w:p>
    <w:p w14:paraId="1A784C02" w14:textId="1408B947" w:rsidR="00B07B75" w:rsidRDefault="00B07B75" w:rsidP="004811D2">
      <w:pPr>
        <w:rPr>
          <w:rFonts w:ascii="Calibri" w:eastAsia="Calibri" w:hAnsi="Calibri" w:cs="Calibri"/>
          <w:sz w:val="24"/>
          <w:szCs w:val="24"/>
        </w:rPr>
      </w:pPr>
      <w:r>
        <w:rPr>
          <w:rFonts w:eastAsia="Calibri"/>
        </w:rPr>
        <w:br w:type="page"/>
      </w:r>
    </w:p>
    <w:p w14:paraId="22E6774B" w14:textId="77777777" w:rsidR="00B07B75" w:rsidRDefault="00B07B75" w:rsidP="002746B5">
      <w:pPr>
        <w:pStyle w:val="Caption"/>
        <w:ind w:right="30"/>
        <w:jc w:val="left"/>
        <w:rPr>
          <w:rFonts w:asciiTheme="minorHAnsi" w:hAnsiTheme="minorHAnsi" w:cstheme="minorHAnsi"/>
          <w:sz w:val="24"/>
          <w:szCs w:val="24"/>
        </w:rPr>
        <w:sectPr w:rsidR="00B07B75" w:rsidSect="00DF77FF">
          <w:type w:val="continuous"/>
          <w:pgSz w:w="11910" w:h="16840"/>
          <w:pgMar w:top="1440" w:right="1470" w:bottom="280" w:left="1530" w:header="720" w:footer="720" w:gutter="0"/>
          <w:cols w:space="720"/>
          <w:noEndnote/>
        </w:sectPr>
      </w:pPr>
    </w:p>
    <w:p w14:paraId="19513870" w14:textId="35FE63E3" w:rsidR="004A4E91" w:rsidRPr="002746B5" w:rsidRDefault="00B11340" w:rsidP="002746B5">
      <w:pPr>
        <w:pStyle w:val="Caption"/>
        <w:rPr>
          <w:rFonts w:asciiTheme="minorHAnsi" w:hAnsiTheme="minorHAnsi" w:cstheme="minorHAnsi"/>
          <w:sz w:val="24"/>
          <w:szCs w:val="24"/>
          <w:shd w:val="clear" w:color="auto" w:fill="FFFFFF"/>
          <w:lang w:val="en-US"/>
        </w:rPr>
      </w:pPr>
      <w:bookmarkStart w:id="7" w:name="_bookmark5"/>
      <w:bookmarkEnd w:id="7"/>
      <w:r w:rsidRPr="00B11340">
        <w:rPr>
          <w:rFonts w:asciiTheme="minorHAnsi" w:hAnsiTheme="minorHAnsi" w:cstheme="minorHAnsi"/>
          <w:sz w:val="24"/>
          <w:szCs w:val="24"/>
        </w:rPr>
        <w:lastRenderedPageBreak/>
        <w:t xml:space="preserve">Table </w:t>
      </w:r>
      <w:r w:rsidRPr="00B11340">
        <w:rPr>
          <w:rFonts w:asciiTheme="minorHAnsi" w:hAnsiTheme="minorHAnsi" w:cstheme="minorHAnsi"/>
          <w:sz w:val="24"/>
          <w:szCs w:val="24"/>
        </w:rPr>
        <w:fldChar w:fldCharType="begin"/>
      </w:r>
      <w:r w:rsidRPr="00B11340">
        <w:rPr>
          <w:rFonts w:asciiTheme="minorHAnsi" w:hAnsiTheme="minorHAnsi" w:cstheme="minorHAnsi"/>
          <w:sz w:val="24"/>
          <w:szCs w:val="24"/>
        </w:rPr>
        <w:instrText xml:space="preserve"> SEQ Table \* ARABIC </w:instrText>
      </w:r>
      <w:r w:rsidRPr="00B11340">
        <w:rPr>
          <w:rFonts w:asciiTheme="minorHAnsi" w:hAnsiTheme="minorHAnsi" w:cstheme="minorHAnsi"/>
          <w:sz w:val="24"/>
          <w:szCs w:val="24"/>
        </w:rPr>
        <w:fldChar w:fldCharType="separate"/>
      </w:r>
      <w:r w:rsidR="000E600F">
        <w:rPr>
          <w:rFonts w:asciiTheme="minorHAnsi" w:hAnsiTheme="minorHAnsi" w:cstheme="minorHAnsi"/>
          <w:noProof/>
          <w:sz w:val="24"/>
          <w:szCs w:val="24"/>
        </w:rPr>
        <w:t>1</w:t>
      </w:r>
      <w:r w:rsidRPr="00B11340">
        <w:rPr>
          <w:rFonts w:asciiTheme="minorHAnsi" w:hAnsiTheme="minorHAnsi" w:cstheme="minorHAnsi"/>
          <w:sz w:val="24"/>
          <w:szCs w:val="24"/>
        </w:rPr>
        <w:fldChar w:fldCharType="end"/>
      </w:r>
      <w:r w:rsidRPr="00B11340">
        <w:rPr>
          <w:rFonts w:asciiTheme="minorHAnsi" w:hAnsiTheme="minorHAnsi" w:cstheme="minorHAnsi"/>
          <w:sz w:val="24"/>
          <w:szCs w:val="24"/>
          <w:lang w:val="en-US"/>
        </w:rPr>
        <w:t xml:space="preserve">: </w:t>
      </w:r>
      <w:r w:rsidR="00835F78">
        <w:rPr>
          <w:rFonts w:asciiTheme="minorHAnsi" w:hAnsiTheme="minorHAnsi" w:cstheme="minorHAnsi"/>
          <w:sz w:val="24"/>
          <w:szCs w:val="24"/>
          <w:lang w:val="en-US"/>
        </w:rPr>
        <w:t xml:space="preserve">Regulatory Gap Assessment </w:t>
      </w:r>
    </w:p>
    <w:tbl>
      <w:tblPr>
        <w:tblW w:w="4585" w:type="pct"/>
        <w:tblInd w:w="1255"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top w:w="46" w:type="dxa"/>
          <w:left w:w="101" w:type="dxa"/>
          <w:right w:w="72" w:type="dxa"/>
        </w:tblCellMar>
        <w:tblLook w:val="04A0" w:firstRow="1" w:lastRow="0" w:firstColumn="1" w:lastColumn="0" w:noHBand="0" w:noVBand="1"/>
      </w:tblPr>
      <w:tblGrid>
        <w:gridCol w:w="787"/>
        <w:gridCol w:w="2046"/>
        <w:gridCol w:w="5716"/>
        <w:gridCol w:w="5312"/>
      </w:tblGrid>
      <w:tr w:rsidR="00DD32E9" w:rsidRPr="008D148E" w14:paraId="1DCB9E6D" w14:textId="4F3F62FF" w:rsidTr="002746B5">
        <w:trPr>
          <w:trHeight w:val="484"/>
        </w:trPr>
        <w:tc>
          <w:tcPr>
            <w:tcW w:w="1022" w:type="pct"/>
            <w:gridSpan w:val="2"/>
            <w:shd w:val="clear" w:color="auto" w:fill="DBE5F1"/>
            <w:vAlign w:val="center"/>
          </w:tcPr>
          <w:p w14:paraId="5BEEEF96" w14:textId="77777777" w:rsidR="00DD32E9" w:rsidRPr="001B3941" w:rsidRDefault="00DD32E9" w:rsidP="001B3941">
            <w:pPr>
              <w:spacing w:after="60"/>
              <w:ind w:left="44" w:right="30"/>
              <w:jc w:val="both"/>
              <w:rPr>
                <w:rFonts w:eastAsia="Calibri"/>
                <w:sz w:val="24"/>
                <w:szCs w:val="24"/>
              </w:rPr>
            </w:pPr>
            <w:r w:rsidRPr="001B3941">
              <w:rPr>
                <w:rFonts w:eastAsia="Calibri"/>
                <w:b/>
                <w:sz w:val="24"/>
                <w:szCs w:val="24"/>
              </w:rPr>
              <w:t xml:space="preserve"> ESS</w:t>
            </w:r>
          </w:p>
        </w:tc>
        <w:tc>
          <w:tcPr>
            <w:tcW w:w="2062" w:type="pct"/>
            <w:shd w:val="clear" w:color="auto" w:fill="DBE5F1"/>
            <w:vAlign w:val="center"/>
          </w:tcPr>
          <w:p w14:paraId="786A3198" w14:textId="2EB3018B" w:rsidR="00DD32E9" w:rsidRPr="001B3941" w:rsidRDefault="00DD32E9" w:rsidP="002746B5">
            <w:pPr>
              <w:spacing w:after="60"/>
              <w:ind w:left="44" w:right="30"/>
              <w:rPr>
                <w:rFonts w:eastAsia="Calibri"/>
                <w:b/>
                <w:sz w:val="24"/>
                <w:szCs w:val="24"/>
              </w:rPr>
            </w:pPr>
            <w:r>
              <w:rPr>
                <w:rFonts w:eastAsia="Calibri"/>
                <w:b/>
                <w:sz w:val="24"/>
                <w:szCs w:val="24"/>
              </w:rPr>
              <w:t xml:space="preserve">Applicability </w:t>
            </w:r>
          </w:p>
        </w:tc>
        <w:tc>
          <w:tcPr>
            <w:tcW w:w="1916" w:type="pct"/>
            <w:shd w:val="clear" w:color="auto" w:fill="DBE5F1"/>
          </w:tcPr>
          <w:p w14:paraId="4DC5BB42" w14:textId="728082A8" w:rsidR="00DD32E9" w:rsidRPr="001B3941" w:rsidDel="00613116" w:rsidRDefault="00DD32E9" w:rsidP="002746B5">
            <w:pPr>
              <w:spacing w:after="60"/>
              <w:ind w:left="44" w:right="30"/>
              <w:rPr>
                <w:rFonts w:eastAsia="Calibri"/>
                <w:b/>
                <w:sz w:val="24"/>
                <w:szCs w:val="24"/>
              </w:rPr>
            </w:pPr>
            <w:r>
              <w:rPr>
                <w:rFonts w:eastAsia="Calibri"/>
                <w:b/>
                <w:sz w:val="24"/>
                <w:szCs w:val="24"/>
              </w:rPr>
              <w:t xml:space="preserve">Analysis of Gaps with the </w:t>
            </w:r>
            <w:r w:rsidR="00FB1E93">
              <w:rPr>
                <w:rFonts w:eastAsia="Calibri"/>
                <w:b/>
                <w:sz w:val="24"/>
                <w:szCs w:val="24"/>
              </w:rPr>
              <w:t>Country’s Policy and Regulat</w:t>
            </w:r>
            <w:r w:rsidR="009951F0">
              <w:rPr>
                <w:rFonts w:eastAsia="Calibri"/>
                <w:b/>
                <w:sz w:val="24"/>
                <w:szCs w:val="24"/>
              </w:rPr>
              <w:t>ory Framework</w:t>
            </w:r>
          </w:p>
        </w:tc>
      </w:tr>
      <w:tr w:rsidR="00DD32E9" w:rsidRPr="008D148E" w14:paraId="510E7359" w14:textId="658D0D67" w:rsidTr="002746B5">
        <w:trPr>
          <w:trHeight w:val="412"/>
        </w:trPr>
        <w:tc>
          <w:tcPr>
            <w:tcW w:w="284" w:type="pct"/>
            <w:shd w:val="clear" w:color="auto" w:fill="auto"/>
          </w:tcPr>
          <w:p w14:paraId="4550DAB5" w14:textId="77777777" w:rsidR="00DD32E9" w:rsidRPr="001B3941" w:rsidRDefault="00DD32E9" w:rsidP="002746B5">
            <w:pPr>
              <w:spacing w:after="60"/>
              <w:ind w:right="30"/>
              <w:rPr>
                <w:rFonts w:eastAsia="Calibri"/>
                <w:sz w:val="24"/>
                <w:szCs w:val="24"/>
              </w:rPr>
            </w:pPr>
            <w:r w:rsidRPr="001B3941">
              <w:rPr>
                <w:rFonts w:eastAsia="Calibri"/>
                <w:sz w:val="24"/>
                <w:szCs w:val="24"/>
              </w:rPr>
              <w:t>ESS1</w:t>
            </w:r>
          </w:p>
        </w:tc>
        <w:tc>
          <w:tcPr>
            <w:tcW w:w="738" w:type="pct"/>
            <w:shd w:val="clear" w:color="auto" w:fill="auto"/>
          </w:tcPr>
          <w:p w14:paraId="49E333E9" w14:textId="77777777" w:rsidR="00DD32E9" w:rsidRPr="001B3941" w:rsidRDefault="00DD32E9" w:rsidP="002746B5">
            <w:pPr>
              <w:spacing w:after="60"/>
              <w:ind w:right="30"/>
              <w:rPr>
                <w:rFonts w:eastAsia="Calibri"/>
                <w:sz w:val="24"/>
                <w:szCs w:val="24"/>
              </w:rPr>
            </w:pPr>
            <w:r w:rsidRPr="001B3941">
              <w:rPr>
                <w:rFonts w:eastAsia="Calibri"/>
                <w:sz w:val="24"/>
                <w:szCs w:val="24"/>
              </w:rPr>
              <w:t>Assessment and Management of Environmental and Social Risks and Impacts</w:t>
            </w:r>
          </w:p>
        </w:tc>
        <w:tc>
          <w:tcPr>
            <w:tcW w:w="2062" w:type="pct"/>
          </w:tcPr>
          <w:p w14:paraId="2C4B4989" w14:textId="0FBE6F85" w:rsidR="00DD32E9" w:rsidRPr="001B3941" w:rsidRDefault="451DE07A" w:rsidP="002746B5">
            <w:pPr>
              <w:spacing w:after="0" w:line="240" w:lineRule="auto"/>
              <w:ind w:right="29"/>
              <w:contextualSpacing/>
              <w:rPr>
                <w:rFonts w:eastAsia="Calibri"/>
                <w:sz w:val="24"/>
                <w:szCs w:val="24"/>
              </w:rPr>
            </w:pPr>
            <w:r w:rsidRPr="7B4010DD">
              <w:rPr>
                <w:rFonts w:eastAsia="Calibri"/>
                <w:sz w:val="24"/>
                <w:szCs w:val="24"/>
              </w:rPr>
              <w:t>Through provision of performance-based C/S-SDGs, the project activities include promotion</w:t>
            </w:r>
            <w:r w:rsidR="00911FF0">
              <w:rPr>
                <w:rFonts w:eastAsia="Calibri"/>
                <w:sz w:val="24"/>
                <w:szCs w:val="24"/>
              </w:rPr>
              <w:t>-based</w:t>
            </w:r>
            <w:r w:rsidR="00E37456">
              <w:rPr>
                <w:rFonts w:eastAsia="Calibri"/>
                <w:sz w:val="24"/>
                <w:szCs w:val="24"/>
              </w:rPr>
              <w:t xml:space="preserve"> activities,</w:t>
            </w:r>
            <w:r w:rsidR="00911FF0">
              <w:rPr>
                <w:rFonts w:eastAsia="Calibri"/>
                <w:sz w:val="24"/>
                <w:szCs w:val="24"/>
              </w:rPr>
              <w:t xml:space="preserve"> </w:t>
            </w:r>
            <w:r w:rsidR="00E37456" w:rsidRPr="00E37456">
              <w:rPr>
                <w:rFonts w:eastAsia="Calibri"/>
                <w:sz w:val="24"/>
                <w:szCs w:val="24"/>
              </w:rPr>
              <w:t xml:space="preserve">capacity building for subnational administration actors for CPWC and C/S-SDG implementation, awareness/educational campaign on improved maternal and child health and nutrition practices, targeted health and nutrition SBCC through home visits for first 1,000 days households, community-based CPWC activities- social risk mapping, community groups, and Health Equity Funds promotion, and semi-annual performance monitoring for C/S SDGs. The project does not support any infrastructure, renovation of health facilities nor provide any financing on medical equipment, supplies, and immunization. </w:t>
            </w:r>
            <w:r w:rsidRPr="7B4010DD">
              <w:rPr>
                <w:rFonts w:eastAsia="Calibri"/>
                <w:sz w:val="24"/>
                <w:szCs w:val="24"/>
              </w:rPr>
              <w:t>. Delivery of these activities may also present risks related to ESS2, ESS 4, and ESS7. Relevant measures considered include OHS and community health and safety, social inclusion and acceptability of services</w:t>
            </w:r>
            <w:r w:rsidR="000D5685">
              <w:rPr>
                <w:rFonts w:eastAsia="Calibri"/>
                <w:sz w:val="24"/>
                <w:szCs w:val="24"/>
              </w:rPr>
              <w:t xml:space="preserve"> and health risk communication </w:t>
            </w:r>
            <w:r w:rsidRPr="7B4010DD">
              <w:rPr>
                <w:rFonts w:eastAsia="Calibri"/>
                <w:sz w:val="24"/>
                <w:szCs w:val="24"/>
              </w:rPr>
              <w:t>particularly amongst vulnerable groups and Indigenous Peoples</w:t>
            </w:r>
            <w:r w:rsidR="7648BFD3" w:rsidRPr="7B4010DD">
              <w:rPr>
                <w:rFonts w:eastAsia="Calibri"/>
                <w:sz w:val="24"/>
                <w:szCs w:val="24"/>
              </w:rPr>
              <w:t>, and risks associated with e-waste</w:t>
            </w:r>
            <w:r w:rsidRPr="7B4010DD">
              <w:rPr>
                <w:rFonts w:eastAsia="Calibri"/>
                <w:sz w:val="24"/>
                <w:szCs w:val="24"/>
              </w:rPr>
              <w:t>.</w:t>
            </w:r>
            <w:r w:rsidR="00452011">
              <w:rPr>
                <w:rFonts w:eastAsia="Calibri"/>
                <w:sz w:val="24"/>
                <w:szCs w:val="24"/>
              </w:rPr>
              <w:t xml:space="preserve"> </w:t>
            </w:r>
          </w:p>
        </w:tc>
        <w:tc>
          <w:tcPr>
            <w:tcW w:w="1916" w:type="pct"/>
          </w:tcPr>
          <w:p w14:paraId="4C4BF3F7" w14:textId="6E71D7F8" w:rsidR="00DD32E9" w:rsidRPr="000D5685" w:rsidRDefault="000D5685" w:rsidP="002746B5">
            <w:pPr>
              <w:spacing w:after="0" w:line="240" w:lineRule="auto"/>
              <w:ind w:right="29"/>
              <w:contextualSpacing/>
              <w:rPr>
                <w:rFonts w:eastAsia="Calibri"/>
                <w:sz w:val="24"/>
                <w:szCs w:val="24"/>
              </w:rPr>
            </w:pPr>
            <w:r w:rsidRPr="00634DDD">
              <w:rPr>
                <w:rFonts w:eastAsia="Calibri"/>
                <w:sz w:val="24"/>
                <w:szCs w:val="24"/>
              </w:rPr>
              <w:t>To be assessed</w:t>
            </w:r>
            <w:r w:rsidRPr="000D5685">
              <w:rPr>
                <w:rFonts w:eastAsia="Calibri"/>
                <w:sz w:val="24"/>
                <w:szCs w:val="24"/>
              </w:rPr>
              <w:t xml:space="preserve"> </w:t>
            </w:r>
          </w:p>
          <w:p w14:paraId="6F4804F4" w14:textId="0C985440" w:rsidR="00DD32E9" w:rsidRPr="00072834" w:rsidRDefault="00DD32E9" w:rsidP="7B4010DD">
            <w:pPr>
              <w:spacing w:after="0" w:line="240" w:lineRule="auto"/>
              <w:ind w:right="29"/>
              <w:contextualSpacing/>
              <w:rPr>
                <w:rFonts w:ascii="Calibri" w:hAnsi="Calibri" w:cs="Calibri"/>
                <w:sz w:val="24"/>
                <w:szCs w:val="24"/>
              </w:rPr>
            </w:pPr>
          </w:p>
        </w:tc>
      </w:tr>
      <w:tr w:rsidR="00DD32E9" w:rsidRPr="008D148E" w14:paraId="5BB09664" w14:textId="2F7FDDEE" w:rsidTr="002746B5">
        <w:trPr>
          <w:trHeight w:val="403"/>
        </w:trPr>
        <w:tc>
          <w:tcPr>
            <w:tcW w:w="284" w:type="pct"/>
            <w:shd w:val="clear" w:color="auto" w:fill="auto"/>
          </w:tcPr>
          <w:p w14:paraId="3E0A9C14" w14:textId="77777777" w:rsidR="00DD32E9" w:rsidRPr="0065437C" w:rsidRDefault="00DD32E9" w:rsidP="002746B5">
            <w:pPr>
              <w:spacing w:after="0" w:line="240" w:lineRule="auto"/>
              <w:ind w:right="30"/>
              <w:rPr>
                <w:rFonts w:eastAsia="Calibri"/>
                <w:sz w:val="24"/>
                <w:szCs w:val="24"/>
              </w:rPr>
            </w:pPr>
            <w:r w:rsidRPr="0065437C">
              <w:rPr>
                <w:rFonts w:eastAsia="Calibri"/>
                <w:sz w:val="24"/>
                <w:szCs w:val="24"/>
              </w:rPr>
              <w:t>ESS2</w:t>
            </w:r>
          </w:p>
        </w:tc>
        <w:tc>
          <w:tcPr>
            <w:tcW w:w="738" w:type="pct"/>
            <w:shd w:val="clear" w:color="auto" w:fill="auto"/>
          </w:tcPr>
          <w:p w14:paraId="38126FC0" w14:textId="77777777" w:rsidR="00DD32E9" w:rsidRPr="0065437C" w:rsidRDefault="00DD32E9" w:rsidP="002746B5">
            <w:pPr>
              <w:spacing w:after="0" w:line="240" w:lineRule="auto"/>
              <w:ind w:right="30"/>
              <w:rPr>
                <w:rFonts w:eastAsia="Calibri"/>
                <w:sz w:val="24"/>
                <w:szCs w:val="24"/>
              </w:rPr>
            </w:pPr>
            <w:r w:rsidRPr="0065437C">
              <w:rPr>
                <w:rFonts w:eastAsia="Calibri"/>
                <w:sz w:val="24"/>
                <w:szCs w:val="24"/>
              </w:rPr>
              <w:t>Labor and Working Conditions</w:t>
            </w:r>
          </w:p>
        </w:tc>
        <w:tc>
          <w:tcPr>
            <w:tcW w:w="2062" w:type="pct"/>
          </w:tcPr>
          <w:p w14:paraId="3655F357" w14:textId="4B132F55" w:rsidR="00DD32E9" w:rsidRPr="0065437C" w:rsidRDefault="00DD32E9" w:rsidP="002746B5">
            <w:pPr>
              <w:spacing w:after="0" w:line="240" w:lineRule="auto"/>
              <w:ind w:right="29"/>
              <w:contextualSpacing/>
              <w:rPr>
                <w:rFonts w:eastAsia="Calibri"/>
                <w:sz w:val="24"/>
                <w:szCs w:val="24"/>
              </w:rPr>
            </w:pPr>
            <w:r w:rsidRPr="0065437C">
              <w:rPr>
                <w:rFonts w:eastAsia="Calibri"/>
                <w:sz w:val="24"/>
                <w:szCs w:val="24"/>
              </w:rPr>
              <w:t>Management of OHS risks associated with COVID-19, fair and non-discriminatory employment practices (i.e., hiring and firing, fair pay, non-discrimination at workplace settings), personnel deployment to remote and hard-to-reach areas, provision of an accessible and safe Feedback and Grievance Mechanism (FGRM)</w:t>
            </w:r>
          </w:p>
        </w:tc>
        <w:tc>
          <w:tcPr>
            <w:tcW w:w="1916" w:type="pct"/>
          </w:tcPr>
          <w:p w14:paraId="5771D1A5" w14:textId="0CCA85D0" w:rsidR="00DD32E9" w:rsidRDefault="00C47C42" w:rsidP="00D15740">
            <w:pPr>
              <w:spacing w:after="0" w:line="240" w:lineRule="auto"/>
              <w:ind w:right="29"/>
              <w:contextualSpacing/>
              <w:rPr>
                <w:rFonts w:eastAsia="Calibri"/>
                <w:sz w:val="24"/>
                <w:szCs w:val="24"/>
              </w:rPr>
            </w:pPr>
            <w:r>
              <w:rPr>
                <w:rFonts w:eastAsia="Calibri"/>
                <w:sz w:val="24"/>
                <w:szCs w:val="24"/>
              </w:rPr>
              <w:t xml:space="preserve">The </w:t>
            </w:r>
            <w:r w:rsidR="00D15740">
              <w:rPr>
                <w:rFonts w:eastAsia="Calibri"/>
                <w:sz w:val="24"/>
                <w:szCs w:val="24"/>
              </w:rPr>
              <w:t xml:space="preserve">country’s </w:t>
            </w:r>
            <w:r>
              <w:rPr>
                <w:rFonts w:eastAsia="Calibri"/>
                <w:sz w:val="24"/>
                <w:szCs w:val="24"/>
              </w:rPr>
              <w:t xml:space="preserve">Labor </w:t>
            </w:r>
            <w:r w:rsidR="00D15740">
              <w:rPr>
                <w:rFonts w:eastAsia="Calibri"/>
                <w:sz w:val="24"/>
                <w:szCs w:val="24"/>
              </w:rPr>
              <w:t xml:space="preserve">Law is consistent with ESS2. </w:t>
            </w:r>
            <w:r w:rsidR="00D15740" w:rsidRPr="00D15740">
              <w:rPr>
                <w:rFonts w:eastAsia="Calibri"/>
                <w:sz w:val="24"/>
                <w:szCs w:val="24"/>
              </w:rPr>
              <w:t>Labor law of 1997 includes provisions on non-discrimination; prohibition of forced labor including debt bondage; regulation of working conditions; restrictions on employment of minors (under 18 years old); maternity leave; special provisions for employment of agricultural workers; health and safety; and trade union rights.</w:t>
            </w:r>
            <w:r w:rsidR="00D15740">
              <w:rPr>
                <w:rFonts w:eastAsia="Calibri"/>
                <w:sz w:val="24"/>
                <w:szCs w:val="24"/>
              </w:rPr>
              <w:t xml:space="preserve"> </w:t>
            </w:r>
            <w:r w:rsidR="00D15740" w:rsidRPr="00D15740">
              <w:rPr>
                <w:rFonts w:eastAsia="Calibri"/>
                <w:sz w:val="24"/>
                <w:szCs w:val="24"/>
              </w:rPr>
              <w:t xml:space="preserve">The Law considers </w:t>
            </w:r>
            <w:r w:rsidR="00D15740" w:rsidRPr="00D15740">
              <w:rPr>
                <w:rFonts w:eastAsia="Calibri"/>
                <w:sz w:val="24"/>
                <w:szCs w:val="24"/>
              </w:rPr>
              <w:lastRenderedPageBreak/>
              <w:t>that the rules, obligations and rights are the same for casual or permanent workers. The law prohibits discrimination in any form, including by sex, religion, social origin, or ethnicity (art 12). Employers are required to make available a copy of the Law to workers at all business locations/ operations (art 15) and forced compulsory or the hiring of workers to pay off debts is prohibited (art 16). Article 106 reaffirms equal conditions and wage for all work regardless of origin, age and sex for the same types of work. The Law establishes the limit for working hours to 8 hours per day and 48 hours per week as well as rates for working overtime and on public holidays.</w:t>
            </w:r>
            <w:r w:rsidR="00D15740">
              <w:rPr>
                <w:rFonts w:eastAsia="Calibri"/>
                <w:sz w:val="24"/>
                <w:szCs w:val="24"/>
              </w:rPr>
              <w:t xml:space="preserve"> </w:t>
            </w:r>
            <w:r w:rsidR="00D15740" w:rsidRPr="00D15740">
              <w:rPr>
                <w:rFonts w:eastAsia="Calibri"/>
                <w:sz w:val="24"/>
                <w:szCs w:val="24"/>
              </w:rPr>
              <w:t>The allowable minimum age for wage employment is set at 15 years (art 177).  The Law recognizes statutory maternity leave on half wages (art 183), and for the performance of light duties for a further two months. Employers are prohibited from laying off women during their maternity leave (art 182).</w:t>
            </w:r>
          </w:p>
        </w:tc>
      </w:tr>
      <w:tr w:rsidR="00DD32E9" w:rsidRPr="008D148E" w14:paraId="1E676D20" w14:textId="058B91DE" w:rsidTr="002746B5">
        <w:trPr>
          <w:trHeight w:val="457"/>
        </w:trPr>
        <w:tc>
          <w:tcPr>
            <w:tcW w:w="284" w:type="pct"/>
            <w:shd w:val="clear" w:color="auto" w:fill="auto"/>
          </w:tcPr>
          <w:p w14:paraId="33D2A357" w14:textId="77777777" w:rsidR="00DD32E9" w:rsidRPr="0065437C" w:rsidRDefault="00DD32E9" w:rsidP="002746B5">
            <w:pPr>
              <w:spacing w:after="0" w:line="240" w:lineRule="auto"/>
              <w:ind w:right="30"/>
              <w:contextualSpacing/>
              <w:rPr>
                <w:rFonts w:eastAsia="Calibri"/>
                <w:sz w:val="24"/>
                <w:szCs w:val="24"/>
              </w:rPr>
            </w:pPr>
            <w:r w:rsidRPr="0065437C">
              <w:rPr>
                <w:rFonts w:eastAsia="Calibri"/>
                <w:sz w:val="24"/>
                <w:szCs w:val="24"/>
              </w:rPr>
              <w:t>ESS3</w:t>
            </w:r>
          </w:p>
        </w:tc>
        <w:tc>
          <w:tcPr>
            <w:tcW w:w="738" w:type="pct"/>
            <w:shd w:val="clear" w:color="auto" w:fill="auto"/>
          </w:tcPr>
          <w:p w14:paraId="32D11294" w14:textId="77777777" w:rsidR="00DD32E9" w:rsidRPr="0065437C" w:rsidRDefault="00DD32E9" w:rsidP="002746B5">
            <w:pPr>
              <w:spacing w:after="0" w:line="240" w:lineRule="auto"/>
              <w:ind w:right="30"/>
              <w:contextualSpacing/>
              <w:rPr>
                <w:rFonts w:eastAsia="Calibri"/>
                <w:sz w:val="24"/>
                <w:szCs w:val="24"/>
              </w:rPr>
            </w:pPr>
            <w:r w:rsidRPr="0065437C">
              <w:rPr>
                <w:rFonts w:eastAsia="Calibri"/>
                <w:sz w:val="24"/>
                <w:szCs w:val="24"/>
              </w:rPr>
              <w:t>Resource Efficiency and Pollution Prevention and Management</w:t>
            </w:r>
          </w:p>
        </w:tc>
        <w:tc>
          <w:tcPr>
            <w:tcW w:w="2062" w:type="pct"/>
          </w:tcPr>
          <w:p w14:paraId="19C286AB" w14:textId="31AC0A0E" w:rsidR="00DD32E9" w:rsidRPr="0065437C" w:rsidRDefault="00A6515B" w:rsidP="002746B5">
            <w:pPr>
              <w:spacing w:after="0" w:line="240" w:lineRule="auto"/>
              <w:ind w:right="29"/>
              <w:contextualSpacing/>
              <w:rPr>
                <w:rFonts w:eastAsia="Calibri"/>
                <w:sz w:val="24"/>
                <w:szCs w:val="24"/>
              </w:rPr>
            </w:pPr>
            <w:r>
              <w:rPr>
                <w:rFonts w:eastAsia="Calibri"/>
                <w:sz w:val="24"/>
                <w:szCs w:val="24"/>
              </w:rPr>
              <w:t>Management of risks associated with p</w:t>
            </w:r>
            <w:r w:rsidR="451DE07A" w:rsidRPr="7B4010DD">
              <w:rPr>
                <w:rFonts w:eastAsia="Calibri"/>
                <w:sz w:val="24"/>
                <w:szCs w:val="24"/>
              </w:rPr>
              <w:t xml:space="preserve">rocurement of ICT equipment and for electric waste management and disposal </w:t>
            </w:r>
          </w:p>
        </w:tc>
        <w:tc>
          <w:tcPr>
            <w:tcW w:w="1916" w:type="pct"/>
          </w:tcPr>
          <w:p w14:paraId="5667B0F6" w14:textId="34C3F97B" w:rsidR="002D7095" w:rsidRDefault="3BD3E338" w:rsidP="002746B5">
            <w:pPr>
              <w:spacing w:after="0" w:line="240" w:lineRule="auto"/>
              <w:ind w:right="29"/>
              <w:contextualSpacing/>
              <w:rPr>
                <w:rFonts w:ascii="Calibri" w:eastAsia="Calibri" w:hAnsi="Calibri" w:cs="Calibri"/>
                <w:sz w:val="24"/>
                <w:szCs w:val="24"/>
              </w:rPr>
            </w:pPr>
            <w:r w:rsidRPr="7B4010DD">
              <w:rPr>
                <w:rFonts w:eastAsia="Calibri"/>
                <w:sz w:val="24"/>
                <w:szCs w:val="24"/>
              </w:rPr>
              <w:t xml:space="preserve">Cambodia has no specific laws related to E-waste Management, but some regulations exist around control, monitoring the activities, which impact human health and the environment. The regulations concerning e-waste management are in Law on Environmental Protection and National Resource Management, adopted by national assembly on 24 December 1996, that stipulated that “the prevention, reduction, control of airspace, water and land pollution, noise and vibration disturbances as well as waste, toxic substances and hazardous substances, shall be determined by sub-decree </w:t>
            </w:r>
            <w:r w:rsidRPr="7B4010DD">
              <w:rPr>
                <w:rFonts w:eastAsia="Calibri"/>
                <w:sz w:val="24"/>
                <w:szCs w:val="24"/>
              </w:rPr>
              <w:lastRenderedPageBreak/>
              <w:t xml:space="preserve">following a proposal of the Ministry of Environment in Article 13, chapter 5 of this law. </w:t>
            </w:r>
            <w:r w:rsidR="1885FDED" w:rsidRPr="7B4010DD">
              <w:rPr>
                <w:rFonts w:eastAsia="Calibri"/>
                <w:sz w:val="24"/>
                <w:szCs w:val="24"/>
              </w:rPr>
              <w:t>T</w:t>
            </w:r>
            <w:r w:rsidR="1885FDED" w:rsidRPr="7B4010DD">
              <w:rPr>
                <w:rFonts w:ascii="Calibri" w:eastAsiaTheme="minorEastAsia" w:hAnsi="Calibri" w:cs="Calibri"/>
                <w:sz w:val="24"/>
                <w:szCs w:val="24"/>
              </w:rPr>
              <w:t xml:space="preserve">he e-waste management is more characterized by informal sector through repairing, segregation, collection, reassemble/ refurbishment and dismantling and/or recycling and exportation of scrap-metal or recyclable materials. The regulation and enforcement on this sector </w:t>
            </w:r>
            <w:r w:rsidR="1885FDED" w:rsidRPr="7B4010DD">
              <w:rPr>
                <w:rFonts w:ascii="Calibri" w:eastAsia="Calibri" w:hAnsi="Calibri" w:cs="Calibri"/>
                <w:sz w:val="24"/>
                <w:szCs w:val="24"/>
              </w:rPr>
              <w:t>is yet in proper function.</w:t>
            </w:r>
          </w:p>
        </w:tc>
      </w:tr>
      <w:tr w:rsidR="00DD32E9" w:rsidRPr="008D148E" w14:paraId="59AD4B97" w14:textId="21ADF544" w:rsidTr="002746B5">
        <w:trPr>
          <w:trHeight w:val="421"/>
        </w:trPr>
        <w:tc>
          <w:tcPr>
            <w:tcW w:w="284" w:type="pct"/>
            <w:shd w:val="clear" w:color="auto" w:fill="auto"/>
          </w:tcPr>
          <w:p w14:paraId="7A94EA88" w14:textId="77777777" w:rsidR="00DD32E9" w:rsidRPr="0065437C" w:rsidRDefault="00DD32E9" w:rsidP="002746B5">
            <w:pPr>
              <w:spacing w:after="0" w:line="240" w:lineRule="auto"/>
              <w:ind w:right="30"/>
              <w:contextualSpacing/>
              <w:rPr>
                <w:rFonts w:eastAsia="Calibri"/>
                <w:sz w:val="24"/>
                <w:szCs w:val="24"/>
              </w:rPr>
            </w:pPr>
            <w:r w:rsidRPr="0065437C">
              <w:rPr>
                <w:rFonts w:eastAsia="Calibri"/>
                <w:sz w:val="24"/>
                <w:szCs w:val="24"/>
              </w:rPr>
              <w:t>ESS4</w:t>
            </w:r>
          </w:p>
        </w:tc>
        <w:tc>
          <w:tcPr>
            <w:tcW w:w="738" w:type="pct"/>
            <w:shd w:val="clear" w:color="auto" w:fill="auto"/>
          </w:tcPr>
          <w:p w14:paraId="3DF66E06" w14:textId="77777777" w:rsidR="00DD32E9" w:rsidRPr="0065437C" w:rsidRDefault="00DD32E9" w:rsidP="002746B5">
            <w:pPr>
              <w:spacing w:after="0" w:line="240" w:lineRule="auto"/>
              <w:ind w:right="30"/>
              <w:contextualSpacing/>
              <w:rPr>
                <w:rFonts w:eastAsia="Calibri"/>
                <w:sz w:val="24"/>
                <w:szCs w:val="24"/>
              </w:rPr>
            </w:pPr>
            <w:r w:rsidRPr="0065437C">
              <w:rPr>
                <w:rFonts w:eastAsia="Calibri"/>
                <w:sz w:val="24"/>
                <w:szCs w:val="24"/>
              </w:rPr>
              <w:t>Community Health and Safety</w:t>
            </w:r>
          </w:p>
        </w:tc>
        <w:tc>
          <w:tcPr>
            <w:tcW w:w="2062" w:type="pct"/>
          </w:tcPr>
          <w:p w14:paraId="31E7B785" w14:textId="14A6F2E0" w:rsidR="00DD32E9" w:rsidRPr="0065437C" w:rsidRDefault="00DD32E9" w:rsidP="002746B5">
            <w:pPr>
              <w:spacing w:after="0" w:line="240" w:lineRule="auto"/>
              <w:ind w:right="30"/>
              <w:contextualSpacing/>
              <w:rPr>
                <w:rFonts w:eastAsia="Calibri"/>
                <w:sz w:val="24"/>
                <w:szCs w:val="24"/>
              </w:rPr>
            </w:pPr>
            <w:r w:rsidRPr="0065437C">
              <w:rPr>
                <w:rFonts w:eastAsia="Calibri"/>
                <w:sz w:val="24"/>
                <w:szCs w:val="24"/>
              </w:rPr>
              <w:t>Prevention and management of community health and safety risks due to face-to-face interactions in times of COVID-19, including risks of transmission, SEA/SH risks.</w:t>
            </w:r>
          </w:p>
        </w:tc>
        <w:tc>
          <w:tcPr>
            <w:tcW w:w="1916" w:type="pct"/>
          </w:tcPr>
          <w:p w14:paraId="29A6EA20" w14:textId="12562D3D" w:rsidR="00DD32E9" w:rsidRPr="0033330C" w:rsidRDefault="00D15740" w:rsidP="0033330C">
            <w:pPr>
              <w:tabs>
                <w:tab w:val="left" w:pos="720"/>
              </w:tabs>
              <w:kinsoku w:val="0"/>
              <w:overflowPunct w:val="0"/>
              <w:autoSpaceDE w:val="0"/>
              <w:autoSpaceDN w:val="0"/>
              <w:adjustRightInd w:val="0"/>
              <w:spacing w:after="0" w:line="240" w:lineRule="auto"/>
              <w:ind w:right="29"/>
              <w:contextualSpacing/>
              <w:jc w:val="both"/>
              <w:rPr>
                <w:rFonts w:cstheme="minorHAnsi"/>
                <w:b/>
                <w:bCs/>
                <w:spacing w:val="1"/>
                <w:sz w:val="24"/>
                <w:szCs w:val="24"/>
              </w:rPr>
            </w:pPr>
            <w:r w:rsidRPr="00B97F20">
              <w:rPr>
                <w:rFonts w:cstheme="minorHAnsi"/>
                <w:sz w:val="24"/>
                <w:szCs w:val="24"/>
              </w:rPr>
              <w:t>The Royal Government of Cambodia (RGC) has made significant strides in setting a national policy and legal framework to address gender-based violence against women (GBV/VAW) and promote gender equality and women's empowerment</w:t>
            </w:r>
            <w:r>
              <w:rPr>
                <w:rFonts w:cstheme="minorHAnsi"/>
                <w:sz w:val="24"/>
                <w:szCs w:val="24"/>
              </w:rPr>
              <w:t xml:space="preserve"> through adoption of various laws and regul</w:t>
            </w:r>
            <w:r w:rsidR="0033330C">
              <w:rPr>
                <w:rFonts w:cstheme="minorHAnsi"/>
                <w:sz w:val="24"/>
                <w:szCs w:val="24"/>
              </w:rPr>
              <w:t>at</w:t>
            </w:r>
            <w:r>
              <w:rPr>
                <w:rFonts w:cstheme="minorHAnsi"/>
                <w:sz w:val="24"/>
                <w:szCs w:val="24"/>
              </w:rPr>
              <w:t>ions.</w:t>
            </w:r>
            <w:r w:rsidRPr="00B97F20">
              <w:rPr>
                <w:rFonts w:cstheme="minorHAnsi"/>
                <w:sz w:val="24"/>
                <w:szCs w:val="24"/>
              </w:rPr>
              <w:t xml:space="preserve"> </w:t>
            </w:r>
            <w:r w:rsidR="0033330C">
              <w:rPr>
                <w:rFonts w:cstheme="minorHAnsi"/>
                <w:sz w:val="24"/>
                <w:szCs w:val="24"/>
              </w:rPr>
              <w:t>How</w:t>
            </w:r>
            <w:r>
              <w:rPr>
                <w:rFonts w:cstheme="minorHAnsi"/>
                <w:sz w:val="24"/>
                <w:szCs w:val="24"/>
              </w:rPr>
              <w:t>ever,</w:t>
            </w:r>
            <w:r w:rsidR="0033330C">
              <w:rPr>
                <w:rFonts w:cstheme="minorHAnsi"/>
                <w:sz w:val="24"/>
                <w:szCs w:val="24"/>
              </w:rPr>
              <w:t xml:space="preserve"> d</w:t>
            </w:r>
            <w:r w:rsidRPr="00B97F20">
              <w:rPr>
                <w:rFonts w:cstheme="minorHAnsi"/>
                <w:sz w:val="24"/>
                <w:szCs w:val="24"/>
              </w:rPr>
              <w:t>espite the significant progress in its efforts to prevent and respond to SEA/SH as well as Violence Against Children (VAC), challenges remain including weak capacity to implement policies, poor coverage of services and their limited access, particularly for women and girls from marginalized populations groups.</w:t>
            </w:r>
          </w:p>
        </w:tc>
      </w:tr>
      <w:tr w:rsidR="00DD32E9" w:rsidRPr="008D148E" w14:paraId="7DFDAE64" w14:textId="454ED3C2" w:rsidTr="002746B5">
        <w:trPr>
          <w:trHeight w:val="430"/>
        </w:trPr>
        <w:tc>
          <w:tcPr>
            <w:tcW w:w="284" w:type="pct"/>
            <w:shd w:val="clear" w:color="auto" w:fill="auto"/>
          </w:tcPr>
          <w:p w14:paraId="7C6EA602" w14:textId="77777777" w:rsidR="00DD32E9" w:rsidRPr="0065437C" w:rsidRDefault="00DD32E9" w:rsidP="002746B5">
            <w:pPr>
              <w:spacing w:after="0" w:line="240" w:lineRule="auto"/>
              <w:ind w:right="30"/>
              <w:rPr>
                <w:rFonts w:eastAsia="Calibri"/>
                <w:sz w:val="24"/>
                <w:szCs w:val="24"/>
              </w:rPr>
            </w:pPr>
            <w:r w:rsidRPr="0065437C">
              <w:rPr>
                <w:rFonts w:eastAsia="Calibri"/>
                <w:sz w:val="24"/>
                <w:szCs w:val="24"/>
              </w:rPr>
              <w:t>ESS7</w:t>
            </w:r>
          </w:p>
        </w:tc>
        <w:tc>
          <w:tcPr>
            <w:tcW w:w="738" w:type="pct"/>
            <w:shd w:val="clear" w:color="auto" w:fill="auto"/>
          </w:tcPr>
          <w:p w14:paraId="3BE38B6B" w14:textId="7AAAF25E" w:rsidR="00DD32E9" w:rsidRPr="0065437C" w:rsidRDefault="00DD32E9" w:rsidP="002746B5">
            <w:pPr>
              <w:spacing w:after="0" w:line="240" w:lineRule="auto"/>
              <w:ind w:right="30"/>
              <w:rPr>
                <w:rFonts w:eastAsia="Calibri"/>
                <w:sz w:val="24"/>
                <w:szCs w:val="24"/>
              </w:rPr>
            </w:pPr>
            <w:r w:rsidRPr="0065437C">
              <w:rPr>
                <w:rFonts w:eastAsia="Calibri"/>
                <w:sz w:val="24"/>
                <w:szCs w:val="24"/>
              </w:rPr>
              <w:t>Indigenous Peoples</w:t>
            </w:r>
          </w:p>
        </w:tc>
        <w:tc>
          <w:tcPr>
            <w:tcW w:w="2062" w:type="pct"/>
          </w:tcPr>
          <w:p w14:paraId="236868E8" w14:textId="1278BD1B" w:rsidR="00DD32E9" w:rsidRPr="0065437C" w:rsidRDefault="00DD32E9" w:rsidP="002746B5">
            <w:pPr>
              <w:spacing w:after="0" w:line="240" w:lineRule="auto"/>
              <w:ind w:right="30"/>
              <w:rPr>
                <w:rFonts w:eastAsia="Calibri"/>
                <w:sz w:val="24"/>
                <w:szCs w:val="24"/>
              </w:rPr>
            </w:pPr>
            <w:r w:rsidRPr="0065437C">
              <w:rPr>
                <w:rFonts w:eastAsia="Calibri"/>
                <w:sz w:val="24"/>
                <w:szCs w:val="24"/>
              </w:rPr>
              <w:t>Meaningful consultations and provisions of services in a culturally and socially appropriate manner, provisions of accessible and safe FGRM(s).</w:t>
            </w:r>
          </w:p>
        </w:tc>
        <w:tc>
          <w:tcPr>
            <w:tcW w:w="1916" w:type="pct"/>
          </w:tcPr>
          <w:p w14:paraId="7C1EA119" w14:textId="797AB70F" w:rsidR="00DD32E9" w:rsidRPr="001D3DD7" w:rsidRDefault="001D3DD7" w:rsidP="001D3DD7">
            <w:pPr>
              <w:spacing w:after="60"/>
              <w:ind w:right="30"/>
              <w:rPr>
                <w:rFonts w:eastAsia="Calibri"/>
                <w:sz w:val="24"/>
                <w:szCs w:val="24"/>
              </w:rPr>
            </w:pPr>
            <w:r w:rsidRPr="001D3DD7">
              <w:rPr>
                <w:rFonts w:eastAsia="Calibri"/>
                <w:sz w:val="24"/>
                <w:szCs w:val="24"/>
              </w:rPr>
              <w:t>Overall Cambodia has been incorporating the provisions of human rights treaties into national legislation</w:t>
            </w:r>
            <w:r>
              <w:rPr>
                <w:rStyle w:val="FootnoteReference"/>
                <w:rFonts w:eastAsia="Calibri"/>
                <w:sz w:val="24"/>
                <w:szCs w:val="24"/>
              </w:rPr>
              <w:footnoteReference w:id="3"/>
            </w:r>
            <w:r w:rsidRPr="001D3DD7">
              <w:rPr>
                <w:rFonts w:eastAsia="Calibri"/>
                <w:sz w:val="24"/>
                <w:szCs w:val="24"/>
              </w:rPr>
              <w:t xml:space="preserve">. However, some provisions of Cambodian laws are vague and contain loopholes, which weaken the enforcement of Cambodia’s </w:t>
            </w:r>
            <w:r w:rsidRPr="001D3DD7">
              <w:rPr>
                <w:rFonts w:eastAsia="Calibri"/>
                <w:sz w:val="24"/>
                <w:szCs w:val="24"/>
              </w:rPr>
              <w:lastRenderedPageBreak/>
              <w:t xml:space="preserve">international human rights obligations. </w:t>
            </w:r>
            <w:r w:rsidR="00CF593A" w:rsidRPr="00CF593A">
              <w:rPr>
                <w:rFonts w:eastAsia="Calibri"/>
                <w:sz w:val="24"/>
                <w:szCs w:val="24"/>
              </w:rPr>
              <w:t>In relation to health policy, both the Health Strategic Plan 2008-15 and 2016-2020 has no specific mention of indigenous peoples or the identification of measures to address the specific health barriers that they face. The Working Principle for Equity broadly require provisions for Removing socio-cultural, geographical, financial and bureaucratic barriers in access to and utilization of quality health services, especially by poor and vulnerable people, including persons with disability, ethnic minorities and elderly. Ethnic minorities are mentioned once in relation to cross cutting challenges. In addition, the MoH Fast Track Roadmap for Improving Nutrition 2014-2020 did not provide any specific intervention to this particular group.</w:t>
            </w:r>
          </w:p>
        </w:tc>
      </w:tr>
      <w:tr w:rsidR="00DD32E9" w:rsidRPr="008D148E" w14:paraId="44384A5C" w14:textId="32944D5F" w:rsidTr="002746B5">
        <w:trPr>
          <w:trHeight w:val="484"/>
        </w:trPr>
        <w:tc>
          <w:tcPr>
            <w:tcW w:w="284" w:type="pct"/>
            <w:shd w:val="clear" w:color="auto" w:fill="auto"/>
          </w:tcPr>
          <w:p w14:paraId="4E4BB38C" w14:textId="77777777" w:rsidR="00DD32E9" w:rsidRPr="0065437C" w:rsidRDefault="00DD32E9" w:rsidP="002746B5">
            <w:pPr>
              <w:spacing w:after="0" w:line="240" w:lineRule="auto"/>
              <w:ind w:right="30"/>
              <w:rPr>
                <w:rFonts w:eastAsia="Calibri"/>
                <w:sz w:val="24"/>
                <w:szCs w:val="24"/>
              </w:rPr>
            </w:pPr>
            <w:r w:rsidRPr="0065437C">
              <w:rPr>
                <w:rFonts w:eastAsia="Calibri"/>
                <w:sz w:val="24"/>
                <w:szCs w:val="24"/>
              </w:rPr>
              <w:t>ESS10</w:t>
            </w:r>
          </w:p>
        </w:tc>
        <w:tc>
          <w:tcPr>
            <w:tcW w:w="738" w:type="pct"/>
            <w:shd w:val="clear" w:color="auto" w:fill="auto"/>
          </w:tcPr>
          <w:p w14:paraId="4933D75A" w14:textId="77777777" w:rsidR="00DD32E9" w:rsidRPr="0065437C" w:rsidRDefault="00DD32E9" w:rsidP="002746B5">
            <w:pPr>
              <w:spacing w:after="0" w:line="240" w:lineRule="auto"/>
              <w:ind w:right="30"/>
              <w:rPr>
                <w:rFonts w:eastAsia="Calibri"/>
                <w:sz w:val="24"/>
                <w:szCs w:val="24"/>
              </w:rPr>
            </w:pPr>
            <w:r w:rsidRPr="0065437C">
              <w:rPr>
                <w:rFonts w:eastAsia="Calibri"/>
                <w:sz w:val="24"/>
                <w:szCs w:val="24"/>
              </w:rPr>
              <w:t>Stakeholder Engagement and Information Disclosure</w:t>
            </w:r>
          </w:p>
        </w:tc>
        <w:tc>
          <w:tcPr>
            <w:tcW w:w="2062" w:type="pct"/>
          </w:tcPr>
          <w:p w14:paraId="64D97B33" w14:textId="1EA6F7B6" w:rsidR="00DD32E9" w:rsidRPr="0065437C" w:rsidRDefault="00DD32E9" w:rsidP="002746B5">
            <w:pPr>
              <w:spacing w:after="0" w:line="240" w:lineRule="auto"/>
              <w:ind w:right="30"/>
              <w:rPr>
                <w:rFonts w:eastAsia="Calibri"/>
                <w:sz w:val="24"/>
                <w:szCs w:val="24"/>
              </w:rPr>
            </w:pPr>
            <w:r w:rsidRPr="0065437C">
              <w:rPr>
                <w:rFonts w:eastAsia="Calibri"/>
                <w:sz w:val="24"/>
                <w:szCs w:val="24"/>
              </w:rPr>
              <w:t>Inclusion of relevant stakeholders, particularly key entities and project affected people, including target beneficiaries. Affirmative outreach and engagement measures to vulnerable groups including Indigenous Peoples. Provisions of FGRM accessible and safe to diverse groups.</w:t>
            </w:r>
          </w:p>
        </w:tc>
        <w:tc>
          <w:tcPr>
            <w:tcW w:w="1916" w:type="pct"/>
          </w:tcPr>
          <w:p w14:paraId="7E690C20" w14:textId="21B9178D" w:rsidR="00DD32E9" w:rsidRPr="002746B5" w:rsidRDefault="006A56E3" w:rsidP="00047A00">
            <w:pPr>
              <w:spacing w:after="60"/>
              <w:ind w:right="30"/>
              <w:rPr>
                <w:rFonts w:eastAsia="Calibri"/>
                <w:sz w:val="24"/>
                <w:szCs w:val="24"/>
                <w:highlight w:val="yellow"/>
              </w:rPr>
            </w:pPr>
            <w:r>
              <w:rPr>
                <w:rFonts w:eastAsia="Calibri"/>
                <w:sz w:val="24"/>
                <w:szCs w:val="24"/>
              </w:rPr>
              <w:t xml:space="preserve">The </w:t>
            </w:r>
            <w:r w:rsidRPr="006A56E3">
              <w:rPr>
                <w:rFonts w:eastAsia="Calibri"/>
                <w:sz w:val="24"/>
                <w:szCs w:val="24"/>
              </w:rPr>
              <w:t>Constitution of the Kingdom of Cambodia (1993)</w:t>
            </w:r>
            <w:r>
              <w:rPr>
                <w:rFonts w:eastAsia="Calibri"/>
                <w:sz w:val="24"/>
                <w:szCs w:val="24"/>
              </w:rPr>
              <w:t xml:space="preserve">, </w:t>
            </w:r>
            <w:r w:rsidRPr="006A56E3">
              <w:rPr>
                <w:rFonts w:eastAsia="Calibri"/>
                <w:sz w:val="24"/>
                <w:szCs w:val="24"/>
              </w:rPr>
              <w:t>Article 72 of the Constitution is directly related to health, stat</w:t>
            </w:r>
            <w:r>
              <w:rPr>
                <w:rFonts w:eastAsia="Calibri"/>
                <w:sz w:val="24"/>
                <w:szCs w:val="24"/>
              </w:rPr>
              <w:t>es</w:t>
            </w:r>
            <w:r w:rsidRPr="006A56E3">
              <w:rPr>
                <w:rFonts w:eastAsia="Calibri"/>
                <w:sz w:val="24"/>
                <w:szCs w:val="24"/>
              </w:rPr>
              <w:t xml:space="preserve">: “The health of the people shall be guaranteed. The State shall pay attention to disease prevention and medical treatment. Poor people shall receive free medical consultations in public hospitals, and maternity clinics. The State shall establish infirmaries and maternity clinics in rural areas.” Cambodia’s Constitution (1993) recognizes, and respects human rights guaranteed by international laws. Article 31 of the Constitution states that all Khmer citizens shall be equal before the law, enjoying the same rights and freedom and </w:t>
            </w:r>
            <w:r w:rsidRPr="006A56E3">
              <w:rPr>
                <w:rFonts w:eastAsia="Calibri"/>
                <w:sz w:val="24"/>
                <w:szCs w:val="24"/>
              </w:rPr>
              <w:lastRenderedPageBreak/>
              <w:t>obligations regardless of race, color, sex, language, religious belief, political tendency, national origin, social status, wealth or other status. However, the Constitution does not include specific reference to the country’s indigenous peoples or ethnic minorities.</w:t>
            </w:r>
          </w:p>
        </w:tc>
      </w:tr>
    </w:tbl>
    <w:p w14:paraId="566028D8" w14:textId="77777777" w:rsidR="00B07B75" w:rsidRDefault="00B07B75" w:rsidP="001B3941">
      <w:pPr>
        <w:autoSpaceDE w:val="0"/>
        <w:autoSpaceDN w:val="0"/>
        <w:adjustRightInd w:val="0"/>
        <w:ind w:right="30"/>
        <w:jc w:val="both"/>
        <w:rPr>
          <w:b/>
          <w:bCs/>
          <w:highlight w:val="yellow"/>
        </w:rPr>
        <w:sectPr w:rsidR="00B07B75" w:rsidSect="002746B5">
          <w:type w:val="continuous"/>
          <w:pgSz w:w="16840" w:h="11910" w:orient="landscape"/>
          <w:pgMar w:top="1080" w:right="1440" w:bottom="1166" w:left="274" w:header="720" w:footer="720" w:gutter="0"/>
          <w:cols w:space="720"/>
          <w:noEndnote/>
        </w:sectPr>
      </w:pPr>
    </w:p>
    <w:p w14:paraId="0E78D33C" w14:textId="43599A78" w:rsidR="000D3B4A" w:rsidRDefault="00C556DE" w:rsidP="004B2321">
      <w:pPr>
        <w:kinsoku w:val="0"/>
        <w:overflowPunct w:val="0"/>
        <w:autoSpaceDE w:val="0"/>
        <w:autoSpaceDN w:val="0"/>
        <w:adjustRightInd w:val="0"/>
        <w:spacing w:before="4" w:after="0" w:line="240" w:lineRule="auto"/>
        <w:ind w:right="30"/>
        <w:jc w:val="both"/>
        <w:outlineLvl w:val="0"/>
        <w:rPr>
          <w:rFonts w:ascii="Calibri" w:hAnsi="Calibri" w:cs="Calibri"/>
          <w:b/>
          <w:bCs/>
          <w:sz w:val="28"/>
          <w:szCs w:val="28"/>
        </w:rPr>
      </w:pPr>
      <w:r w:rsidRPr="00B4670F">
        <w:rPr>
          <w:rFonts w:ascii="Calibri" w:hAnsi="Calibri" w:cs="Calibri"/>
          <w:b/>
          <w:bCs/>
          <w:sz w:val="28"/>
          <w:szCs w:val="28"/>
        </w:rPr>
        <w:lastRenderedPageBreak/>
        <w:t>3.</w:t>
      </w:r>
      <w:r w:rsidRPr="00B4670F">
        <w:rPr>
          <w:rFonts w:ascii="Calibri" w:hAnsi="Calibri" w:cs="Calibri"/>
          <w:b/>
          <w:bCs/>
          <w:spacing w:val="-2"/>
          <w:sz w:val="28"/>
          <w:szCs w:val="28"/>
        </w:rPr>
        <w:t xml:space="preserve"> </w:t>
      </w:r>
      <w:r>
        <w:rPr>
          <w:rFonts w:ascii="Calibri" w:hAnsi="Calibri" w:cs="Calibri"/>
          <w:b/>
          <w:bCs/>
          <w:sz w:val="28"/>
          <w:szCs w:val="28"/>
        </w:rPr>
        <w:t xml:space="preserve">ENVIRONMENTAL AND SOCIAL RISKS AND </w:t>
      </w:r>
      <w:r w:rsidRPr="00B4670F">
        <w:rPr>
          <w:rFonts w:ascii="Calibri" w:hAnsi="Calibri" w:cs="Calibri"/>
          <w:b/>
          <w:bCs/>
          <w:sz w:val="28"/>
          <w:szCs w:val="28"/>
        </w:rPr>
        <w:t>IMPACTS</w:t>
      </w:r>
      <w:r w:rsidR="003D0F00">
        <w:rPr>
          <w:rFonts w:ascii="Calibri" w:hAnsi="Calibri" w:cs="Calibri"/>
          <w:b/>
          <w:bCs/>
          <w:sz w:val="28"/>
          <w:szCs w:val="28"/>
        </w:rPr>
        <w:t xml:space="preserve"> AND MITIGATION MEASURES</w:t>
      </w:r>
    </w:p>
    <w:p w14:paraId="2605A18C" w14:textId="29F455F1" w:rsidR="00503FC9" w:rsidRPr="00B4670F" w:rsidRDefault="00503FC9" w:rsidP="004B2321">
      <w:pPr>
        <w:kinsoku w:val="0"/>
        <w:overflowPunct w:val="0"/>
        <w:autoSpaceDE w:val="0"/>
        <w:autoSpaceDN w:val="0"/>
        <w:adjustRightInd w:val="0"/>
        <w:spacing w:before="4" w:after="0" w:line="240" w:lineRule="auto"/>
        <w:ind w:right="30"/>
        <w:jc w:val="both"/>
        <w:outlineLvl w:val="0"/>
        <w:rPr>
          <w:rFonts w:ascii="Calibri" w:hAnsi="Calibri" w:cs="Calibri"/>
          <w:b/>
          <w:bCs/>
          <w:sz w:val="28"/>
          <w:szCs w:val="28"/>
        </w:rPr>
      </w:pPr>
    </w:p>
    <w:p w14:paraId="03627844" w14:textId="011CFDA0" w:rsidR="00C556DE" w:rsidRPr="00B4670F" w:rsidRDefault="00503FC9" w:rsidP="004B2321">
      <w:pPr>
        <w:kinsoku w:val="0"/>
        <w:overflowPunct w:val="0"/>
        <w:autoSpaceDE w:val="0"/>
        <w:autoSpaceDN w:val="0"/>
        <w:adjustRightInd w:val="0"/>
        <w:spacing w:before="11" w:after="0" w:line="240" w:lineRule="auto"/>
        <w:ind w:right="30"/>
        <w:jc w:val="both"/>
        <w:rPr>
          <w:rFonts w:ascii="Calibri" w:hAnsi="Calibri" w:cs="Calibri"/>
          <w:sz w:val="24"/>
          <w:szCs w:val="24"/>
        </w:rPr>
      </w:pPr>
      <w:r>
        <w:rPr>
          <w:rFonts w:ascii="Calibri" w:hAnsi="Calibri" w:cs="Calibri"/>
          <w:sz w:val="24"/>
          <w:szCs w:val="24"/>
        </w:rPr>
        <w:t xml:space="preserve">The following section provides an assessment of potential environmental and social risks and impacts associated with </w:t>
      </w:r>
      <w:r w:rsidR="00E80CE4">
        <w:rPr>
          <w:rFonts w:ascii="Calibri" w:hAnsi="Calibri" w:cs="Calibri"/>
          <w:sz w:val="24"/>
          <w:szCs w:val="24"/>
        </w:rPr>
        <w:t>CNP-II.</w:t>
      </w:r>
    </w:p>
    <w:p w14:paraId="1C015618" w14:textId="77777777" w:rsidR="00B4670F" w:rsidRPr="00B4670F" w:rsidRDefault="00B4670F" w:rsidP="004B2321">
      <w:pPr>
        <w:kinsoku w:val="0"/>
        <w:overflowPunct w:val="0"/>
        <w:autoSpaceDE w:val="0"/>
        <w:autoSpaceDN w:val="0"/>
        <w:adjustRightInd w:val="0"/>
        <w:spacing w:before="5" w:after="0" w:line="240" w:lineRule="auto"/>
        <w:ind w:right="30"/>
        <w:jc w:val="both"/>
        <w:rPr>
          <w:rFonts w:ascii="Calibri" w:hAnsi="Calibri" w:cs="Calibri"/>
        </w:rPr>
      </w:pPr>
    </w:p>
    <w:p w14:paraId="49ACFCB3" w14:textId="3E4EF376" w:rsidR="0011184D" w:rsidRPr="0011184D" w:rsidRDefault="00596D4F" w:rsidP="004B2321">
      <w:pPr>
        <w:numPr>
          <w:ilvl w:val="1"/>
          <w:numId w:val="12"/>
        </w:numPr>
        <w:kinsoku w:val="0"/>
        <w:overflowPunct w:val="0"/>
        <w:autoSpaceDE w:val="0"/>
        <w:autoSpaceDN w:val="0"/>
        <w:adjustRightInd w:val="0"/>
        <w:spacing w:before="1" w:after="0" w:line="240" w:lineRule="auto"/>
        <w:ind w:left="0" w:right="30" w:firstLine="0"/>
        <w:jc w:val="both"/>
        <w:rPr>
          <w:rFonts w:ascii="Calibri" w:hAnsi="Calibri" w:cs="Calibri"/>
          <w:b/>
          <w:bCs/>
          <w:sz w:val="28"/>
          <w:szCs w:val="28"/>
        </w:rPr>
      </w:pPr>
      <w:bookmarkStart w:id="8" w:name="_bookmark6"/>
      <w:bookmarkStart w:id="9" w:name="_Hlk88573690"/>
      <w:bookmarkEnd w:id="8"/>
      <w:r w:rsidRPr="00353ECA">
        <w:rPr>
          <w:rFonts w:ascii="Calibri" w:hAnsi="Calibri" w:cs="Calibri"/>
          <w:b/>
          <w:bCs/>
          <w:sz w:val="28"/>
          <w:szCs w:val="28"/>
        </w:rPr>
        <w:t xml:space="preserve">  </w:t>
      </w:r>
      <w:r w:rsidR="007A6CED" w:rsidRPr="00353ECA">
        <w:rPr>
          <w:rFonts w:ascii="Calibri" w:hAnsi="Calibri" w:cs="Calibri"/>
          <w:b/>
          <w:bCs/>
          <w:sz w:val="28"/>
          <w:szCs w:val="28"/>
        </w:rPr>
        <w:t xml:space="preserve">SUMMARY OF </w:t>
      </w:r>
      <w:r w:rsidR="00353ECA" w:rsidRPr="00353ECA">
        <w:rPr>
          <w:rFonts w:ascii="Calibri" w:hAnsi="Calibri" w:cs="Calibri"/>
          <w:b/>
          <w:bCs/>
          <w:sz w:val="28"/>
          <w:szCs w:val="28"/>
        </w:rPr>
        <w:t>ENVIRONMENTAL AND SOCIAL RISKS</w:t>
      </w:r>
      <w:r w:rsidR="003506C8">
        <w:rPr>
          <w:rFonts w:ascii="Calibri" w:hAnsi="Calibri" w:cs="Calibri"/>
          <w:b/>
          <w:bCs/>
          <w:sz w:val="28"/>
          <w:szCs w:val="28"/>
        </w:rPr>
        <w:t xml:space="preserve"> AND IMPACTS</w:t>
      </w:r>
      <w:r w:rsidR="00353ECA" w:rsidRPr="00353ECA">
        <w:rPr>
          <w:rFonts w:ascii="Calibri" w:hAnsi="Calibri" w:cs="Calibri"/>
          <w:b/>
          <w:bCs/>
          <w:sz w:val="28"/>
          <w:szCs w:val="28"/>
        </w:rPr>
        <w:t xml:space="preserve"> </w:t>
      </w:r>
      <w:bookmarkEnd w:id="9"/>
    </w:p>
    <w:p w14:paraId="127A25FF" w14:textId="18F04A10" w:rsidR="00C409E1" w:rsidRDefault="0A2AE263" w:rsidP="004B2321">
      <w:pPr>
        <w:tabs>
          <w:tab w:val="left" w:pos="1382"/>
        </w:tabs>
        <w:kinsoku w:val="0"/>
        <w:overflowPunct w:val="0"/>
        <w:autoSpaceDE w:val="0"/>
        <w:autoSpaceDN w:val="0"/>
        <w:adjustRightInd w:val="0"/>
        <w:spacing w:before="120" w:after="0" w:line="240" w:lineRule="auto"/>
        <w:ind w:right="29"/>
        <w:jc w:val="both"/>
        <w:rPr>
          <w:rFonts w:ascii="Calibri" w:hAnsi="Calibri" w:cs="Calibri"/>
          <w:sz w:val="24"/>
          <w:szCs w:val="24"/>
        </w:rPr>
      </w:pPr>
      <w:r w:rsidRPr="7B4010DD">
        <w:rPr>
          <w:rFonts w:ascii="Calibri" w:hAnsi="Calibri" w:cs="Calibri"/>
          <w:sz w:val="24"/>
          <w:szCs w:val="24"/>
        </w:rPr>
        <w:t xml:space="preserve">The overall environmental and social risks of the project are assessed as moderate. Although the project will have broader social benefits because it supports the provision of the essential package of health and nutrition services to the targeted population in selected provinces, there are risks of not being able to reach the most needed groups namely mothers, newborns, and children to implement the project. The project activities are promotion based and the potential social and environmental risks and impacts could be managed through appropriate mitigation measures. </w:t>
      </w:r>
    </w:p>
    <w:p w14:paraId="366D0EA6" w14:textId="16D379D9" w:rsidR="7B4010DD" w:rsidRDefault="676D5C8B" w:rsidP="004B2321">
      <w:pPr>
        <w:tabs>
          <w:tab w:val="left" w:pos="1382"/>
        </w:tabs>
        <w:spacing w:before="120" w:after="0" w:line="240" w:lineRule="auto"/>
        <w:ind w:right="29"/>
        <w:jc w:val="both"/>
        <w:rPr>
          <w:rFonts w:ascii="Calibri" w:hAnsi="Calibri" w:cs="Calibri"/>
          <w:sz w:val="24"/>
          <w:szCs w:val="24"/>
        </w:rPr>
      </w:pPr>
      <w:r w:rsidRPr="7B4010DD">
        <w:rPr>
          <w:rFonts w:ascii="Calibri" w:hAnsi="Calibri" w:cs="Calibri"/>
          <w:sz w:val="24"/>
          <w:szCs w:val="24"/>
        </w:rPr>
        <w:t xml:space="preserve">There may be potential COVID 19 related health and safety risks to communities and CPWC operators associated with community mobilization activities such as campaign on improved maternal and child health and nutrition practices, door-to-door home visits, related operational meetings of NCDDS officials and provincial level staff, and in-person trainings for CPWC operators. </w:t>
      </w:r>
      <w:r w:rsidR="4953F9B6" w:rsidRPr="7B4010DD">
        <w:rPr>
          <w:rFonts w:ascii="Calibri" w:hAnsi="Calibri" w:cs="Calibri"/>
          <w:sz w:val="24"/>
          <w:szCs w:val="24"/>
        </w:rPr>
        <w:t xml:space="preserve">The project </w:t>
      </w:r>
      <w:r w:rsidR="00A10103">
        <w:rPr>
          <w:rFonts w:ascii="Calibri" w:hAnsi="Calibri" w:cs="Calibri"/>
          <w:sz w:val="24"/>
          <w:szCs w:val="24"/>
        </w:rPr>
        <w:t>will</w:t>
      </w:r>
      <w:r w:rsidR="00A10103" w:rsidRPr="7B4010DD">
        <w:rPr>
          <w:rFonts w:ascii="Calibri" w:hAnsi="Calibri" w:cs="Calibri"/>
          <w:sz w:val="24"/>
          <w:szCs w:val="24"/>
        </w:rPr>
        <w:t xml:space="preserve"> </w:t>
      </w:r>
      <w:r w:rsidR="4953F9B6" w:rsidRPr="7B4010DD">
        <w:rPr>
          <w:rFonts w:ascii="Calibri" w:hAnsi="Calibri" w:cs="Calibri"/>
          <w:sz w:val="24"/>
          <w:szCs w:val="24"/>
        </w:rPr>
        <w:t>finance some ICT equipment in a small quantity. The potential risks associated with disposal of such equipment are minimum.</w:t>
      </w:r>
    </w:p>
    <w:p w14:paraId="48A743EE" w14:textId="4B7F1B8B" w:rsidR="00BF00CE" w:rsidRDefault="0011184D" w:rsidP="004B2321">
      <w:pPr>
        <w:tabs>
          <w:tab w:val="left" w:pos="1382"/>
        </w:tabs>
        <w:kinsoku w:val="0"/>
        <w:overflowPunct w:val="0"/>
        <w:autoSpaceDE w:val="0"/>
        <w:autoSpaceDN w:val="0"/>
        <w:adjustRightInd w:val="0"/>
        <w:spacing w:before="120" w:after="0" w:line="240" w:lineRule="auto"/>
        <w:ind w:right="29"/>
        <w:jc w:val="both"/>
        <w:rPr>
          <w:rFonts w:cstheme="minorHAnsi"/>
          <w:sz w:val="24"/>
          <w:szCs w:val="24"/>
        </w:rPr>
      </w:pPr>
      <w:r w:rsidRPr="0060060A">
        <w:rPr>
          <w:rFonts w:ascii="Calibri" w:hAnsi="Calibri" w:cs="Calibri"/>
          <w:sz w:val="24"/>
          <w:szCs w:val="24"/>
        </w:rPr>
        <w:t>The main social risks such</w:t>
      </w:r>
      <w:r>
        <w:rPr>
          <w:rFonts w:ascii="Calibri" w:hAnsi="Calibri" w:cs="Calibri"/>
          <w:sz w:val="24"/>
          <w:szCs w:val="24"/>
        </w:rPr>
        <w:t xml:space="preserve"> </w:t>
      </w:r>
      <w:r w:rsidRPr="0060060A">
        <w:rPr>
          <w:rFonts w:ascii="Calibri" w:hAnsi="Calibri" w:cs="Calibri"/>
          <w:sz w:val="24"/>
          <w:szCs w:val="24"/>
        </w:rPr>
        <w:t>as ensuring inclusive targeting of project beneficiaries require well-prepared action plans including awareness creation</w:t>
      </w:r>
      <w:r>
        <w:rPr>
          <w:rFonts w:ascii="Calibri" w:hAnsi="Calibri" w:cs="Calibri"/>
          <w:sz w:val="24"/>
          <w:szCs w:val="24"/>
        </w:rPr>
        <w:t xml:space="preserve"> </w:t>
      </w:r>
      <w:r w:rsidRPr="0060060A">
        <w:rPr>
          <w:rFonts w:ascii="Calibri" w:hAnsi="Calibri" w:cs="Calibri"/>
          <w:sz w:val="24"/>
          <w:szCs w:val="24"/>
        </w:rPr>
        <w:t xml:space="preserve">and public information sharing among the </w:t>
      </w:r>
      <w:r>
        <w:rPr>
          <w:rFonts w:ascii="Calibri" w:hAnsi="Calibri" w:cs="Calibri"/>
          <w:sz w:val="24"/>
          <w:szCs w:val="24"/>
        </w:rPr>
        <w:t>vulnerable</w:t>
      </w:r>
      <w:r w:rsidRPr="0060060A">
        <w:rPr>
          <w:rFonts w:ascii="Calibri" w:hAnsi="Calibri" w:cs="Calibri"/>
          <w:sz w:val="24"/>
          <w:szCs w:val="24"/>
        </w:rPr>
        <w:t xml:space="preserve"> population</w:t>
      </w:r>
      <w:r>
        <w:rPr>
          <w:rFonts w:ascii="Calibri" w:hAnsi="Calibri" w:cs="Calibri"/>
          <w:sz w:val="24"/>
          <w:szCs w:val="24"/>
        </w:rPr>
        <w:t>s</w:t>
      </w:r>
      <w:r w:rsidRPr="0060060A">
        <w:rPr>
          <w:rFonts w:ascii="Calibri" w:hAnsi="Calibri" w:cs="Calibri"/>
          <w:sz w:val="24"/>
          <w:szCs w:val="24"/>
        </w:rPr>
        <w:t xml:space="preserve">. </w:t>
      </w:r>
      <w:r w:rsidR="00991356" w:rsidRPr="001B3941">
        <w:rPr>
          <w:rFonts w:cstheme="minorHAnsi"/>
          <w:sz w:val="24"/>
          <w:szCs w:val="24"/>
        </w:rPr>
        <w:t xml:space="preserve">The equity and access risks, especially for the most vulnerable and ethnic minorities remain highly relevant for the project. The main social risk is that vulnerable and disadvantaged households and groups, including potentially </w:t>
      </w:r>
      <w:r w:rsidR="00E975A2">
        <w:rPr>
          <w:rFonts w:cstheme="minorHAnsi"/>
          <w:sz w:val="24"/>
          <w:szCs w:val="24"/>
        </w:rPr>
        <w:t>Indigenous Peoples</w:t>
      </w:r>
      <w:r w:rsidR="00991356" w:rsidRPr="001B3941">
        <w:rPr>
          <w:rFonts w:cstheme="minorHAnsi"/>
          <w:sz w:val="24"/>
          <w:szCs w:val="24"/>
        </w:rPr>
        <w:t xml:space="preserve"> encountering obstacles to access facilities and services provided by the project activities.  Although the project will have broader social benefits because it supports the provision of the essential package of health and nutrition services to the targeted population in selected provinces, there are risks of not being able to reach the most needed groups namely mothers, newborns, and children to implement the project.  Also, the project requires to adopt a robust and inclusive social mapping of eligible households; targeted health and nutrition </w:t>
      </w:r>
      <w:r w:rsidR="00D83DB8">
        <w:rPr>
          <w:rFonts w:cstheme="minorHAnsi"/>
          <w:sz w:val="24"/>
          <w:szCs w:val="24"/>
        </w:rPr>
        <w:t xml:space="preserve">Social and Behavior </w:t>
      </w:r>
      <w:r w:rsidR="00D8197E">
        <w:rPr>
          <w:rFonts w:cstheme="minorHAnsi"/>
          <w:sz w:val="24"/>
          <w:szCs w:val="24"/>
        </w:rPr>
        <w:t>Change Communication (</w:t>
      </w:r>
      <w:r w:rsidR="00991356" w:rsidRPr="001B3941">
        <w:rPr>
          <w:rFonts w:cstheme="minorHAnsi"/>
          <w:sz w:val="24"/>
          <w:szCs w:val="24"/>
        </w:rPr>
        <w:t>SBCC</w:t>
      </w:r>
      <w:r w:rsidR="00D8197E">
        <w:rPr>
          <w:rFonts w:cstheme="minorHAnsi"/>
          <w:sz w:val="24"/>
          <w:szCs w:val="24"/>
        </w:rPr>
        <w:t>)</w:t>
      </w:r>
      <w:r w:rsidR="00991356" w:rsidRPr="001B3941">
        <w:rPr>
          <w:rFonts w:cstheme="minorHAnsi"/>
          <w:sz w:val="24"/>
          <w:szCs w:val="24"/>
        </w:rPr>
        <w:t xml:space="preserve"> through door-to-door home visits, community groups, and mobilization for community-based growth monitoring and promotion (GMP); health equity fund (HEF) promotion to increase service utilization among the poor; and community mobilization. These are critical aspects that require careful planning and implementation not allowing gaps and exclusion of most needy categories of households.  </w:t>
      </w:r>
    </w:p>
    <w:p w14:paraId="75BD2C77" w14:textId="030CED73" w:rsidR="00991356" w:rsidRDefault="00991356" w:rsidP="004B2321">
      <w:pPr>
        <w:tabs>
          <w:tab w:val="left" w:pos="1382"/>
        </w:tabs>
        <w:kinsoku w:val="0"/>
        <w:overflowPunct w:val="0"/>
        <w:autoSpaceDE w:val="0"/>
        <w:autoSpaceDN w:val="0"/>
        <w:adjustRightInd w:val="0"/>
        <w:spacing w:before="120" w:after="0" w:line="240" w:lineRule="auto"/>
        <w:ind w:right="29"/>
        <w:jc w:val="both"/>
        <w:rPr>
          <w:sz w:val="24"/>
          <w:szCs w:val="24"/>
        </w:rPr>
      </w:pPr>
      <w:r w:rsidRPr="006C69F5">
        <w:rPr>
          <w:rFonts w:cstheme="minorHAnsi"/>
          <w:sz w:val="24"/>
          <w:szCs w:val="24"/>
        </w:rPr>
        <w:t xml:space="preserve">Under CNP-II, </w:t>
      </w:r>
      <w:r w:rsidR="00177CEF">
        <w:rPr>
          <w:sz w:val="24"/>
          <w:szCs w:val="24"/>
        </w:rPr>
        <w:t>p</w:t>
      </w:r>
      <w:r w:rsidRPr="0076597C">
        <w:rPr>
          <w:sz w:val="24"/>
          <w:szCs w:val="24"/>
        </w:rPr>
        <w:t xml:space="preserve">ersonal safety and OHS in the context of COVID-19 and deployment of frontline health personnel to remote and hard-to-reach areas, </w:t>
      </w:r>
      <w:r w:rsidR="00177CEF">
        <w:rPr>
          <w:sz w:val="24"/>
          <w:szCs w:val="24"/>
        </w:rPr>
        <w:t>r</w:t>
      </w:r>
      <w:r w:rsidRPr="0076597C">
        <w:rPr>
          <w:sz w:val="24"/>
          <w:szCs w:val="24"/>
        </w:rPr>
        <w:t xml:space="preserve">isks of social stigmatization, particularly in the context of certain cultural and individual practices that may be contradictory with national health guidelines, and Sexual Exploitation and Abuse and Sexual Harassment (SEA/SH) and Violence against Children (VAC) particularly related to pre- and post-natal and child health procedures.  </w:t>
      </w:r>
      <w:r w:rsidR="00177CEF">
        <w:rPr>
          <w:sz w:val="24"/>
          <w:szCs w:val="24"/>
        </w:rPr>
        <w:t>Under the CNP-II, e</w:t>
      </w:r>
      <w:r w:rsidRPr="0076597C">
        <w:rPr>
          <w:sz w:val="24"/>
          <w:szCs w:val="24"/>
        </w:rPr>
        <w:t xml:space="preserve">xclusion of vulnerable groups from accessing benefits is expected to be addressed under the SEP </w:t>
      </w:r>
      <w:r w:rsidR="00177CEF">
        <w:rPr>
          <w:sz w:val="24"/>
          <w:szCs w:val="24"/>
        </w:rPr>
        <w:t xml:space="preserve">which includes measures </w:t>
      </w:r>
      <w:r w:rsidRPr="0076597C">
        <w:rPr>
          <w:sz w:val="24"/>
          <w:szCs w:val="24"/>
        </w:rPr>
        <w:t>for inclusive community participation, outreach and engagement, accessible Information, Education and Communication (IEC) particularly on behavioral changes, grievance handling.</w:t>
      </w:r>
      <w:r>
        <w:rPr>
          <w:sz w:val="24"/>
          <w:szCs w:val="24"/>
        </w:rPr>
        <w:t xml:space="preserve">  </w:t>
      </w:r>
    </w:p>
    <w:p w14:paraId="1C49871B" w14:textId="77777777" w:rsidR="0011184D" w:rsidRPr="00353ECA" w:rsidRDefault="0011184D" w:rsidP="004B2321">
      <w:pPr>
        <w:kinsoku w:val="0"/>
        <w:overflowPunct w:val="0"/>
        <w:autoSpaceDE w:val="0"/>
        <w:autoSpaceDN w:val="0"/>
        <w:adjustRightInd w:val="0"/>
        <w:spacing w:before="1" w:after="0" w:line="240" w:lineRule="auto"/>
        <w:ind w:right="30"/>
        <w:jc w:val="both"/>
        <w:rPr>
          <w:rFonts w:ascii="Calibri" w:hAnsi="Calibri" w:cs="Calibri"/>
          <w:b/>
          <w:bCs/>
          <w:sz w:val="28"/>
          <w:szCs w:val="28"/>
        </w:rPr>
      </w:pPr>
    </w:p>
    <w:p w14:paraId="19362839" w14:textId="7D2E83C0" w:rsidR="003A0D7C" w:rsidRPr="00EC2367" w:rsidRDefault="3BD3E338" w:rsidP="004B2321">
      <w:pPr>
        <w:numPr>
          <w:ilvl w:val="1"/>
          <w:numId w:val="12"/>
        </w:numPr>
        <w:kinsoku w:val="0"/>
        <w:overflowPunct w:val="0"/>
        <w:autoSpaceDE w:val="0"/>
        <w:autoSpaceDN w:val="0"/>
        <w:adjustRightInd w:val="0"/>
        <w:spacing w:before="1" w:after="0" w:line="240" w:lineRule="auto"/>
        <w:ind w:left="0" w:right="30" w:firstLine="0"/>
        <w:jc w:val="both"/>
        <w:rPr>
          <w:rFonts w:ascii="Calibri" w:hAnsi="Calibri" w:cs="Calibri"/>
          <w:b/>
          <w:bCs/>
        </w:rPr>
      </w:pPr>
      <w:r w:rsidRPr="7B4010DD">
        <w:rPr>
          <w:rFonts w:ascii="Calibri" w:hAnsi="Calibri" w:cs="Calibri"/>
          <w:b/>
          <w:bCs/>
          <w:sz w:val="28"/>
          <w:szCs w:val="28"/>
        </w:rPr>
        <w:t>IMPACT MITIGATION MEASURES</w:t>
      </w:r>
    </w:p>
    <w:p w14:paraId="010A180E" w14:textId="1CC98BD9" w:rsidR="00B60819" w:rsidRDefault="4860A8D3" w:rsidP="00BE28F2">
      <w:pPr>
        <w:tabs>
          <w:tab w:val="left" w:pos="1382"/>
        </w:tabs>
        <w:kinsoku w:val="0"/>
        <w:overflowPunct w:val="0"/>
        <w:autoSpaceDE w:val="0"/>
        <w:autoSpaceDN w:val="0"/>
        <w:adjustRightInd w:val="0"/>
        <w:spacing w:before="120" w:after="120" w:line="240" w:lineRule="auto"/>
        <w:ind w:right="29"/>
        <w:jc w:val="both"/>
        <w:rPr>
          <w:rFonts w:ascii="Calibri" w:hAnsi="Calibri" w:cs="Calibri"/>
          <w:sz w:val="24"/>
          <w:szCs w:val="24"/>
        </w:rPr>
      </w:pPr>
      <w:r w:rsidRPr="7B4010DD">
        <w:rPr>
          <w:rFonts w:ascii="Calibri" w:hAnsi="Calibri" w:cs="Calibri"/>
          <w:sz w:val="24"/>
          <w:szCs w:val="24"/>
        </w:rPr>
        <w:t xml:space="preserve">The project seeks to manage these potential </w:t>
      </w:r>
      <w:r w:rsidR="6E136401" w:rsidRPr="7B4010DD">
        <w:rPr>
          <w:rFonts w:ascii="Calibri" w:hAnsi="Calibri" w:cs="Calibri"/>
          <w:sz w:val="24"/>
          <w:szCs w:val="24"/>
        </w:rPr>
        <w:t xml:space="preserve">environmental and </w:t>
      </w:r>
      <w:r w:rsidRPr="7B4010DD">
        <w:rPr>
          <w:rFonts w:ascii="Calibri" w:hAnsi="Calibri" w:cs="Calibri"/>
          <w:sz w:val="24"/>
          <w:szCs w:val="24"/>
        </w:rPr>
        <w:t>social risks and impacts through appropriate mitigation measures. The main social risks such as ensuring inclusive targeting of project beneficiaries will be mitigated by the Stakeholder Engagement Plan which includes awareness creation and public information sharing among vulnerable population groups.  Building on the existing EMP under CNP-I, this ESMP incorporates additional social dimensions related to labor and working conditions, SEA/SH and VAC</w:t>
      </w:r>
      <w:r w:rsidR="782D62A7" w:rsidRPr="7B4010DD">
        <w:rPr>
          <w:rFonts w:ascii="Calibri" w:hAnsi="Calibri" w:cs="Calibri"/>
          <w:sz w:val="24"/>
          <w:szCs w:val="24"/>
        </w:rPr>
        <w:t xml:space="preserve">, COVID-19 IPC measures </w:t>
      </w:r>
      <w:r w:rsidRPr="7B4010DD">
        <w:rPr>
          <w:rFonts w:ascii="Calibri" w:hAnsi="Calibri" w:cs="Calibri"/>
          <w:sz w:val="24"/>
          <w:szCs w:val="24"/>
        </w:rPr>
        <w:t xml:space="preserve">and risks related to disposal of e-waste.   </w:t>
      </w:r>
    </w:p>
    <w:p w14:paraId="7B06BE0C" w14:textId="586D26A4" w:rsidR="004E2ABC" w:rsidRDefault="004E2ABC" w:rsidP="00BE28F2">
      <w:pPr>
        <w:tabs>
          <w:tab w:val="left" w:pos="1382"/>
        </w:tabs>
        <w:kinsoku w:val="0"/>
        <w:overflowPunct w:val="0"/>
        <w:autoSpaceDE w:val="0"/>
        <w:autoSpaceDN w:val="0"/>
        <w:adjustRightInd w:val="0"/>
        <w:spacing w:before="120" w:after="120" w:line="240" w:lineRule="auto"/>
        <w:ind w:right="29"/>
        <w:jc w:val="both"/>
        <w:rPr>
          <w:rFonts w:ascii="Calibri" w:hAnsi="Calibri" w:cs="Calibri"/>
          <w:sz w:val="24"/>
          <w:szCs w:val="24"/>
        </w:rPr>
      </w:pPr>
      <w:r>
        <w:rPr>
          <w:rFonts w:ascii="Calibri" w:hAnsi="Calibri" w:cs="Calibri"/>
          <w:sz w:val="24"/>
          <w:szCs w:val="24"/>
        </w:rPr>
        <w:t>NCDDS will screen potential risks associated with specific activities</w:t>
      </w:r>
      <w:r w:rsidR="009913E1">
        <w:rPr>
          <w:rFonts w:ascii="Calibri" w:hAnsi="Calibri" w:cs="Calibri"/>
          <w:sz w:val="24"/>
          <w:szCs w:val="24"/>
        </w:rPr>
        <w:t xml:space="preserve"> eligible</w:t>
      </w:r>
      <w:r>
        <w:rPr>
          <w:rFonts w:ascii="Calibri" w:hAnsi="Calibri" w:cs="Calibri"/>
          <w:sz w:val="24"/>
          <w:szCs w:val="24"/>
        </w:rPr>
        <w:t xml:space="preserve"> to be financed under CNP-II</w:t>
      </w:r>
      <w:r w:rsidR="00691E98">
        <w:rPr>
          <w:rFonts w:ascii="Calibri" w:hAnsi="Calibri" w:cs="Calibri"/>
          <w:sz w:val="24"/>
          <w:szCs w:val="24"/>
        </w:rPr>
        <w:t xml:space="preserve"> and use the foll</w:t>
      </w:r>
      <w:r w:rsidR="009913E1">
        <w:rPr>
          <w:rFonts w:ascii="Calibri" w:hAnsi="Calibri" w:cs="Calibri"/>
          <w:sz w:val="24"/>
          <w:szCs w:val="24"/>
        </w:rPr>
        <w:t xml:space="preserve">owing guidance and/or protocols for the management of such risks and identify measures to enhance development opportunities </w:t>
      </w:r>
      <w:r w:rsidR="00BE28F2">
        <w:rPr>
          <w:rFonts w:ascii="Calibri" w:hAnsi="Calibri" w:cs="Calibri"/>
          <w:sz w:val="24"/>
          <w:szCs w:val="24"/>
        </w:rPr>
        <w:t>through inclusive engagement and community participation.</w:t>
      </w:r>
      <w:r w:rsidR="00D31291">
        <w:rPr>
          <w:rFonts w:ascii="Calibri" w:hAnsi="Calibri" w:cs="Calibri"/>
          <w:sz w:val="24"/>
          <w:szCs w:val="24"/>
        </w:rPr>
        <w:t xml:space="preserve"> For this purpose, a s</w:t>
      </w:r>
      <w:r w:rsidR="00D31291" w:rsidRPr="00D31291">
        <w:rPr>
          <w:rFonts w:ascii="Calibri" w:hAnsi="Calibri" w:cs="Calibri"/>
          <w:sz w:val="24"/>
          <w:szCs w:val="24"/>
        </w:rPr>
        <w:t>takeholder Engagement Plan (SEP) has been prepared as a standalone document integral to the ESMP. The SEP outlines past and on-going as well as planned engagement activities with relevant stakeholders, including with target community beneficiaries. The SEP also includes provisions of project communication, disclosure of information and FGRM.</w:t>
      </w:r>
      <w:r w:rsidR="008649FB">
        <w:rPr>
          <w:rFonts w:ascii="Calibri" w:hAnsi="Calibri" w:cs="Calibri"/>
          <w:sz w:val="24"/>
          <w:szCs w:val="24"/>
        </w:rPr>
        <w:t xml:space="preserve"> Annex 5 provides a </w:t>
      </w:r>
      <w:r w:rsidR="00696AD8">
        <w:rPr>
          <w:rFonts w:ascii="Calibri" w:hAnsi="Calibri" w:cs="Calibri"/>
          <w:sz w:val="24"/>
          <w:szCs w:val="24"/>
        </w:rPr>
        <w:t>FGRM which is applicable under CNP-II.</w:t>
      </w:r>
    </w:p>
    <w:p w14:paraId="3CB7B3B5" w14:textId="68A056A4" w:rsidR="00402557" w:rsidRDefault="009EF7A1" w:rsidP="00BE28F2">
      <w:pPr>
        <w:tabs>
          <w:tab w:val="left" w:pos="1382"/>
        </w:tabs>
        <w:kinsoku w:val="0"/>
        <w:overflowPunct w:val="0"/>
        <w:autoSpaceDE w:val="0"/>
        <w:autoSpaceDN w:val="0"/>
        <w:adjustRightInd w:val="0"/>
        <w:spacing w:before="120" w:after="120" w:line="240" w:lineRule="auto"/>
        <w:ind w:right="29"/>
        <w:jc w:val="both"/>
        <w:rPr>
          <w:rFonts w:ascii="Calibri" w:hAnsi="Calibri" w:cs="Calibri"/>
          <w:sz w:val="24"/>
          <w:szCs w:val="24"/>
        </w:rPr>
      </w:pPr>
      <w:r w:rsidRPr="7B4010DD">
        <w:rPr>
          <w:rFonts w:ascii="Calibri" w:hAnsi="Calibri" w:cs="Calibri"/>
          <w:sz w:val="24"/>
          <w:szCs w:val="24"/>
        </w:rPr>
        <w:t>Specific</w:t>
      </w:r>
      <w:r w:rsidR="481D48EE" w:rsidRPr="7B4010DD">
        <w:rPr>
          <w:rFonts w:ascii="Calibri" w:hAnsi="Calibri" w:cs="Calibri"/>
          <w:sz w:val="24"/>
          <w:szCs w:val="24"/>
        </w:rPr>
        <w:t xml:space="preserve"> risk management</w:t>
      </w:r>
      <w:r w:rsidRPr="7B4010DD">
        <w:rPr>
          <w:rFonts w:ascii="Calibri" w:hAnsi="Calibri" w:cs="Calibri"/>
          <w:sz w:val="24"/>
          <w:szCs w:val="24"/>
        </w:rPr>
        <w:t xml:space="preserve"> measures </w:t>
      </w:r>
      <w:r w:rsidR="481D48EE" w:rsidRPr="7B4010DD">
        <w:rPr>
          <w:rFonts w:ascii="Calibri" w:hAnsi="Calibri" w:cs="Calibri"/>
          <w:sz w:val="24"/>
          <w:szCs w:val="24"/>
        </w:rPr>
        <w:t>to correspond to potential risks and impacts</w:t>
      </w:r>
      <w:r w:rsidR="4A90BDFC" w:rsidRPr="7B4010DD">
        <w:rPr>
          <w:rFonts w:ascii="Calibri" w:hAnsi="Calibri" w:cs="Calibri"/>
          <w:sz w:val="24"/>
          <w:szCs w:val="24"/>
        </w:rPr>
        <w:t xml:space="preserve"> associated with CNP ll</w:t>
      </w:r>
      <w:r w:rsidR="481D48EE" w:rsidRPr="7B4010DD">
        <w:rPr>
          <w:rFonts w:ascii="Calibri" w:hAnsi="Calibri" w:cs="Calibri"/>
          <w:sz w:val="24"/>
          <w:szCs w:val="24"/>
        </w:rPr>
        <w:t xml:space="preserve"> </w:t>
      </w:r>
      <w:r w:rsidRPr="7B4010DD">
        <w:rPr>
          <w:rFonts w:ascii="Calibri" w:hAnsi="Calibri" w:cs="Calibri"/>
          <w:sz w:val="24"/>
          <w:szCs w:val="24"/>
        </w:rPr>
        <w:t xml:space="preserve">are outlined in the </w:t>
      </w:r>
      <w:r w:rsidRPr="00402557">
        <w:rPr>
          <w:rFonts w:ascii="Calibri" w:hAnsi="Calibri" w:cs="Calibri"/>
          <w:sz w:val="24"/>
          <w:szCs w:val="24"/>
        </w:rPr>
        <w:t>following</w:t>
      </w:r>
      <w:r w:rsidR="00402557" w:rsidRPr="00402557">
        <w:rPr>
          <w:rFonts w:ascii="Calibri" w:hAnsi="Calibri" w:cs="Calibri"/>
          <w:sz w:val="24"/>
          <w:szCs w:val="24"/>
        </w:rPr>
        <w:t xml:space="preserve"> </w:t>
      </w:r>
      <w:r w:rsidR="00402557" w:rsidRPr="00402557">
        <w:rPr>
          <w:rFonts w:ascii="Calibri" w:hAnsi="Calibri" w:cs="Calibri"/>
          <w:b/>
          <w:bCs/>
          <w:sz w:val="24"/>
          <w:szCs w:val="24"/>
        </w:rPr>
        <w:fldChar w:fldCharType="begin"/>
      </w:r>
      <w:r w:rsidR="00402557" w:rsidRPr="00402557">
        <w:rPr>
          <w:rFonts w:ascii="Calibri" w:hAnsi="Calibri" w:cs="Calibri"/>
          <w:b/>
          <w:bCs/>
          <w:sz w:val="24"/>
          <w:szCs w:val="24"/>
        </w:rPr>
        <w:instrText xml:space="preserve"> REF _Ref88728646 \h  \* MERGEFORMAT </w:instrText>
      </w:r>
      <w:r w:rsidR="00402557" w:rsidRPr="00402557">
        <w:rPr>
          <w:rFonts w:ascii="Calibri" w:hAnsi="Calibri" w:cs="Calibri"/>
          <w:b/>
          <w:bCs/>
          <w:sz w:val="24"/>
          <w:szCs w:val="24"/>
        </w:rPr>
      </w:r>
      <w:r w:rsidR="00402557" w:rsidRPr="00402557">
        <w:rPr>
          <w:rFonts w:ascii="Calibri" w:hAnsi="Calibri" w:cs="Calibri"/>
          <w:b/>
          <w:bCs/>
          <w:sz w:val="24"/>
          <w:szCs w:val="24"/>
        </w:rPr>
        <w:fldChar w:fldCharType="separate"/>
      </w:r>
      <w:r w:rsidR="000E600F" w:rsidRPr="000E600F">
        <w:rPr>
          <w:rFonts w:ascii="Calibri" w:hAnsi="Calibri"/>
          <w:b/>
          <w:bCs/>
          <w:sz w:val="24"/>
          <w:szCs w:val="24"/>
        </w:rPr>
        <w:t xml:space="preserve">Table </w:t>
      </w:r>
      <w:r w:rsidR="000E600F" w:rsidRPr="000E600F">
        <w:rPr>
          <w:rFonts w:ascii="Calibri" w:hAnsi="Calibri"/>
          <w:b/>
          <w:bCs/>
          <w:noProof/>
          <w:sz w:val="24"/>
          <w:szCs w:val="24"/>
        </w:rPr>
        <w:t>2</w:t>
      </w:r>
      <w:r w:rsidR="00402557" w:rsidRPr="00402557">
        <w:rPr>
          <w:rFonts w:ascii="Calibri" w:hAnsi="Calibri" w:cs="Calibri"/>
          <w:b/>
          <w:bCs/>
          <w:sz w:val="24"/>
          <w:szCs w:val="24"/>
        </w:rPr>
        <w:fldChar w:fldCharType="end"/>
      </w:r>
      <w:r w:rsidR="00402557" w:rsidRPr="00402557">
        <w:rPr>
          <w:rFonts w:ascii="Calibri" w:hAnsi="Calibri" w:cs="Calibri"/>
          <w:sz w:val="24"/>
          <w:szCs w:val="24"/>
        </w:rPr>
        <w:t>.</w:t>
      </w:r>
    </w:p>
    <w:p w14:paraId="41B6853C" w14:textId="799899AA" w:rsidR="00402557" w:rsidRPr="00402557" w:rsidRDefault="00402557" w:rsidP="00402557">
      <w:pPr>
        <w:pStyle w:val="Caption"/>
        <w:rPr>
          <w:rFonts w:ascii="Calibri" w:hAnsi="Calibri" w:cs="Calibri"/>
          <w:sz w:val="22"/>
          <w:szCs w:val="22"/>
          <w:lang w:val="en-US"/>
        </w:rPr>
      </w:pPr>
      <w:bookmarkStart w:id="10" w:name="_Ref88728646"/>
      <w:r w:rsidRPr="00402557">
        <w:rPr>
          <w:rFonts w:ascii="Calibri" w:hAnsi="Calibri"/>
          <w:sz w:val="22"/>
          <w:szCs w:val="22"/>
        </w:rPr>
        <w:t xml:space="preserve">Table </w:t>
      </w:r>
      <w:r w:rsidRPr="00402557">
        <w:rPr>
          <w:rFonts w:ascii="Calibri" w:hAnsi="Calibri"/>
          <w:sz w:val="22"/>
          <w:szCs w:val="22"/>
        </w:rPr>
        <w:fldChar w:fldCharType="begin"/>
      </w:r>
      <w:r w:rsidRPr="00402557">
        <w:rPr>
          <w:rFonts w:ascii="Calibri" w:hAnsi="Calibri"/>
          <w:sz w:val="22"/>
          <w:szCs w:val="22"/>
        </w:rPr>
        <w:instrText xml:space="preserve"> SEQ Table \* ARABIC </w:instrText>
      </w:r>
      <w:r w:rsidRPr="00402557">
        <w:rPr>
          <w:rFonts w:ascii="Calibri" w:hAnsi="Calibri"/>
          <w:sz w:val="22"/>
          <w:szCs w:val="22"/>
        </w:rPr>
        <w:fldChar w:fldCharType="separate"/>
      </w:r>
      <w:r w:rsidR="000E600F">
        <w:rPr>
          <w:rFonts w:ascii="Calibri" w:hAnsi="Calibri"/>
          <w:noProof/>
          <w:sz w:val="22"/>
          <w:szCs w:val="22"/>
        </w:rPr>
        <w:t>2</w:t>
      </w:r>
      <w:r w:rsidRPr="00402557">
        <w:rPr>
          <w:rFonts w:ascii="Calibri" w:hAnsi="Calibri"/>
          <w:sz w:val="22"/>
          <w:szCs w:val="22"/>
        </w:rPr>
        <w:fldChar w:fldCharType="end"/>
      </w:r>
      <w:bookmarkEnd w:id="10"/>
      <w:r w:rsidRPr="00402557">
        <w:rPr>
          <w:rFonts w:ascii="Calibri" w:hAnsi="Calibri"/>
          <w:sz w:val="22"/>
          <w:szCs w:val="22"/>
          <w:lang w:val="en-US"/>
        </w:rPr>
        <w:t xml:space="preserve">: Risk Management Directory </w:t>
      </w:r>
    </w:p>
    <w:tbl>
      <w:tblPr>
        <w:tblStyle w:val="TableGrid"/>
        <w:tblW w:w="0" w:type="auto"/>
        <w:tblLook w:val="04A0" w:firstRow="1" w:lastRow="0" w:firstColumn="1" w:lastColumn="0" w:noHBand="0" w:noVBand="1"/>
      </w:tblPr>
      <w:tblGrid>
        <w:gridCol w:w="4319"/>
        <w:gridCol w:w="4711"/>
      </w:tblGrid>
      <w:tr w:rsidR="00BE28F2" w14:paraId="44DD7785" w14:textId="77777777" w:rsidTr="00D31291">
        <w:tc>
          <w:tcPr>
            <w:tcW w:w="4405" w:type="dxa"/>
          </w:tcPr>
          <w:p w14:paraId="6047FFF1" w14:textId="6A0FFE89" w:rsidR="00BE28F2" w:rsidRPr="00286E1B" w:rsidRDefault="00BE28F2" w:rsidP="00BE28F2">
            <w:pPr>
              <w:tabs>
                <w:tab w:val="left" w:pos="1382"/>
              </w:tabs>
              <w:kinsoku w:val="0"/>
              <w:overflowPunct w:val="0"/>
              <w:autoSpaceDE w:val="0"/>
              <w:autoSpaceDN w:val="0"/>
              <w:adjustRightInd w:val="0"/>
              <w:ind w:right="29"/>
              <w:contextualSpacing/>
              <w:jc w:val="both"/>
              <w:rPr>
                <w:rFonts w:ascii="Calibri" w:hAnsi="Calibri" w:cs="Calibri"/>
                <w:b/>
                <w:bCs/>
                <w:sz w:val="24"/>
                <w:szCs w:val="24"/>
              </w:rPr>
            </w:pPr>
            <w:r w:rsidRPr="00286E1B">
              <w:rPr>
                <w:rFonts w:ascii="Calibri" w:hAnsi="Calibri" w:cs="Calibri"/>
                <w:b/>
                <w:bCs/>
                <w:sz w:val="24"/>
                <w:szCs w:val="24"/>
              </w:rPr>
              <w:t>Potential Risks</w:t>
            </w:r>
          </w:p>
        </w:tc>
        <w:tc>
          <w:tcPr>
            <w:tcW w:w="4805" w:type="dxa"/>
          </w:tcPr>
          <w:p w14:paraId="4532B1D8" w14:textId="35669450" w:rsidR="00BE28F2" w:rsidRPr="00286E1B" w:rsidRDefault="00286E1B" w:rsidP="00BE28F2">
            <w:pPr>
              <w:tabs>
                <w:tab w:val="left" w:pos="1382"/>
              </w:tabs>
              <w:kinsoku w:val="0"/>
              <w:overflowPunct w:val="0"/>
              <w:autoSpaceDE w:val="0"/>
              <w:autoSpaceDN w:val="0"/>
              <w:adjustRightInd w:val="0"/>
              <w:ind w:right="29"/>
              <w:contextualSpacing/>
              <w:jc w:val="both"/>
              <w:rPr>
                <w:rFonts w:ascii="Calibri" w:hAnsi="Calibri" w:cs="Calibri"/>
                <w:b/>
                <w:bCs/>
                <w:sz w:val="24"/>
                <w:szCs w:val="24"/>
              </w:rPr>
            </w:pPr>
            <w:r w:rsidRPr="00286E1B">
              <w:rPr>
                <w:rFonts w:ascii="Calibri" w:hAnsi="Calibri" w:cs="Calibri"/>
                <w:b/>
                <w:bCs/>
                <w:sz w:val="24"/>
                <w:szCs w:val="24"/>
              </w:rPr>
              <w:t>Mitigation Measures</w:t>
            </w:r>
          </w:p>
        </w:tc>
      </w:tr>
      <w:tr w:rsidR="00BE28F2" w14:paraId="73E9E8E8" w14:textId="77777777" w:rsidTr="00D31291">
        <w:tc>
          <w:tcPr>
            <w:tcW w:w="4405" w:type="dxa"/>
          </w:tcPr>
          <w:p w14:paraId="7F3F112A" w14:textId="32213D0F" w:rsidR="00BE28F2" w:rsidRDefault="00C05C12" w:rsidP="0083429C">
            <w:pPr>
              <w:tabs>
                <w:tab w:val="left" w:pos="1382"/>
              </w:tabs>
              <w:kinsoku w:val="0"/>
              <w:overflowPunct w:val="0"/>
              <w:autoSpaceDE w:val="0"/>
              <w:autoSpaceDN w:val="0"/>
              <w:adjustRightInd w:val="0"/>
              <w:ind w:right="29"/>
              <w:contextualSpacing/>
              <w:rPr>
                <w:rFonts w:ascii="Calibri" w:hAnsi="Calibri" w:cs="Calibri"/>
                <w:sz w:val="24"/>
                <w:szCs w:val="24"/>
              </w:rPr>
            </w:pPr>
            <w:r>
              <w:rPr>
                <w:rFonts w:ascii="Calibri" w:hAnsi="Calibri" w:cs="Calibri"/>
                <w:sz w:val="24"/>
                <w:szCs w:val="24"/>
              </w:rPr>
              <w:t>Public health</w:t>
            </w:r>
            <w:r w:rsidR="004C4464">
              <w:rPr>
                <w:rFonts w:ascii="Calibri" w:hAnsi="Calibri" w:cs="Calibri"/>
                <w:sz w:val="24"/>
                <w:szCs w:val="24"/>
              </w:rPr>
              <w:t xml:space="preserve"> risks associated with face-to-face meetings and community interactions in times of COVID-19 pandemic.</w:t>
            </w:r>
          </w:p>
        </w:tc>
        <w:tc>
          <w:tcPr>
            <w:tcW w:w="4805" w:type="dxa"/>
          </w:tcPr>
          <w:p w14:paraId="31826F05" w14:textId="56D44CD3" w:rsidR="00BE28F2" w:rsidRDefault="00286E1B" w:rsidP="0083429C">
            <w:pPr>
              <w:tabs>
                <w:tab w:val="left" w:pos="1382"/>
              </w:tabs>
              <w:kinsoku w:val="0"/>
              <w:overflowPunct w:val="0"/>
              <w:autoSpaceDE w:val="0"/>
              <w:autoSpaceDN w:val="0"/>
              <w:adjustRightInd w:val="0"/>
              <w:ind w:right="29"/>
              <w:contextualSpacing/>
              <w:rPr>
                <w:rFonts w:ascii="Calibri" w:hAnsi="Calibri" w:cs="Calibri"/>
                <w:sz w:val="24"/>
                <w:szCs w:val="24"/>
              </w:rPr>
            </w:pPr>
            <w:r w:rsidRPr="00286E1B">
              <w:rPr>
                <w:rFonts w:ascii="Calibri" w:hAnsi="Calibri" w:cs="Calibri"/>
                <w:b/>
                <w:bCs/>
                <w:sz w:val="24"/>
                <w:szCs w:val="24"/>
              </w:rPr>
              <w:t>COVID-19 Infection Prevention and Control (IPC) protocol</w:t>
            </w:r>
            <w:r w:rsidRPr="00286E1B">
              <w:rPr>
                <w:rFonts w:ascii="Calibri" w:hAnsi="Calibri" w:cs="Calibri"/>
                <w:sz w:val="24"/>
                <w:szCs w:val="24"/>
              </w:rPr>
              <w:t xml:space="preserve">: there may be potential COVID-19 related health and safety risks associated with community mobilization activities such as campaign for improved maternal and child health and nutrition practices, targeted health and nutrition Social and Behavior Change Communication (SBCC) through door-to-door-home visits, in-person trainings and meetings. Mitigation measures for COVID-19 related risks are presented in Annex </w:t>
            </w:r>
            <w:r w:rsidR="00402557">
              <w:rPr>
                <w:rFonts w:ascii="Calibri" w:hAnsi="Calibri" w:cs="Calibri"/>
                <w:sz w:val="24"/>
                <w:szCs w:val="24"/>
              </w:rPr>
              <w:t>1</w:t>
            </w:r>
            <w:r w:rsidRPr="00286E1B">
              <w:rPr>
                <w:rFonts w:ascii="Calibri" w:hAnsi="Calibri" w:cs="Calibri"/>
                <w:sz w:val="24"/>
                <w:szCs w:val="24"/>
              </w:rPr>
              <w:t xml:space="preserve">.  </w:t>
            </w:r>
          </w:p>
        </w:tc>
      </w:tr>
      <w:tr w:rsidR="00BE28F2" w14:paraId="243270D2" w14:textId="77777777" w:rsidTr="00D31291">
        <w:tc>
          <w:tcPr>
            <w:tcW w:w="4405" w:type="dxa"/>
          </w:tcPr>
          <w:p w14:paraId="6F99012B" w14:textId="458FF3ED" w:rsidR="00BE28F2" w:rsidRDefault="00402557" w:rsidP="0006436F">
            <w:pPr>
              <w:tabs>
                <w:tab w:val="left" w:pos="1382"/>
              </w:tabs>
              <w:kinsoku w:val="0"/>
              <w:overflowPunct w:val="0"/>
              <w:autoSpaceDE w:val="0"/>
              <w:autoSpaceDN w:val="0"/>
              <w:adjustRightInd w:val="0"/>
              <w:ind w:right="29"/>
              <w:contextualSpacing/>
              <w:rPr>
                <w:rFonts w:ascii="Calibri" w:hAnsi="Calibri" w:cs="Calibri"/>
                <w:sz w:val="24"/>
                <w:szCs w:val="24"/>
              </w:rPr>
            </w:pPr>
            <w:r>
              <w:rPr>
                <w:rFonts w:ascii="Calibri" w:hAnsi="Calibri" w:cs="Calibri"/>
                <w:sz w:val="24"/>
                <w:szCs w:val="24"/>
              </w:rPr>
              <w:t xml:space="preserve">Risks associated with e-wastes </w:t>
            </w:r>
            <w:r w:rsidR="0006436F">
              <w:rPr>
                <w:rFonts w:ascii="Calibri" w:hAnsi="Calibri" w:cs="Calibri"/>
                <w:sz w:val="24"/>
                <w:szCs w:val="24"/>
              </w:rPr>
              <w:t xml:space="preserve">due to </w:t>
            </w:r>
            <w:r w:rsidR="0080036F">
              <w:rPr>
                <w:rFonts w:ascii="Calibri" w:hAnsi="Calibri" w:cs="Calibri"/>
                <w:sz w:val="24"/>
                <w:szCs w:val="24"/>
              </w:rPr>
              <w:t xml:space="preserve">disposal </w:t>
            </w:r>
            <w:r w:rsidR="0006436F">
              <w:rPr>
                <w:rFonts w:ascii="Calibri" w:hAnsi="Calibri" w:cs="Calibri"/>
                <w:sz w:val="24"/>
                <w:szCs w:val="24"/>
              </w:rPr>
              <w:t>of old ICT equipment.</w:t>
            </w:r>
          </w:p>
        </w:tc>
        <w:tc>
          <w:tcPr>
            <w:tcW w:w="4805" w:type="dxa"/>
          </w:tcPr>
          <w:p w14:paraId="551A8E64" w14:textId="77777777" w:rsidR="00B92789" w:rsidRPr="00B92789" w:rsidRDefault="00402557" w:rsidP="00B92789">
            <w:pPr>
              <w:tabs>
                <w:tab w:val="left" w:pos="1382"/>
              </w:tabs>
              <w:kinsoku w:val="0"/>
              <w:overflowPunct w:val="0"/>
              <w:autoSpaceDE w:val="0"/>
              <w:autoSpaceDN w:val="0"/>
              <w:adjustRightInd w:val="0"/>
              <w:ind w:right="29"/>
              <w:contextualSpacing/>
              <w:rPr>
                <w:rFonts w:ascii="Calibri" w:hAnsi="Calibri" w:cs="Calibri"/>
                <w:sz w:val="24"/>
                <w:szCs w:val="24"/>
              </w:rPr>
            </w:pPr>
            <w:r w:rsidRPr="00402557">
              <w:rPr>
                <w:rFonts w:ascii="Calibri" w:hAnsi="Calibri" w:cs="Calibri"/>
                <w:b/>
                <w:bCs/>
                <w:sz w:val="24"/>
                <w:szCs w:val="24"/>
              </w:rPr>
              <w:t>ECOP for ICT waste management</w:t>
            </w:r>
            <w:r w:rsidRPr="00402557">
              <w:rPr>
                <w:rFonts w:ascii="Calibri" w:hAnsi="Calibri" w:cs="Calibri"/>
                <w:sz w:val="24"/>
                <w:szCs w:val="24"/>
              </w:rPr>
              <w:t xml:space="preserve">: </w:t>
            </w:r>
          </w:p>
          <w:p w14:paraId="5BCEB63F" w14:textId="2D71FB03" w:rsidR="00BE28F2" w:rsidRDefault="0080693B" w:rsidP="00B92789">
            <w:pPr>
              <w:tabs>
                <w:tab w:val="left" w:pos="1382"/>
              </w:tabs>
              <w:kinsoku w:val="0"/>
              <w:overflowPunct w:val="0"/>
              <w:autoSpaceDE w:val="0"/>
              <w:autoSpaceDN w:val="0"/>
              <w:adjustRightInd w:val="0"/>
              <w:ind w:right="29"/>
              <w:contextualSpacing/>
              <w:rPr>
                <w:rFonts w:ascii="Calibri" w:hAnsi="Calibri" w:cs="Calibri"/>
                <w:sz w:val="24"/>
                <w:szCs w:val="24"/>
              </w:rPr>
            </w:pPr>
            <w:r>
              <w:rPr>
                <w:rFonts w:ascii="Calibri" w:hAnsi="Calibri" w:cs="Calibri"/>
                <w:sz w:val="24"/>
                <w:szCs w:val="24"/>
              </w:rPr>
              <w:t>Under CNP ll Component ll, t</w:t>
            </w:r>
            <w:r w:rsidR="00B92789" w:rsidRPr="00B92789">
              <w:rPr>
                <w:rFonts w:ascii="Calibri" w:hAnsi="Calibri" w:cs="Calibri"/>
                <w:sz w:val="24"/>
                <w:szCs w:val="24"/>
              </w:rPr>
              <w:t xml:space="preserve">he </w:t>
            </w:r>
            <w:r>
              <w:rPr>
                <w:rFonts w:ascii="Calibri" w:hAnsi="Calibri" w:cs="Calibri"/>
                <w:sz w:val="24"/>
                <w:szCs w:val="24"/>
              </w:rPr>
              <w:t>project will finance</w:t>
            </w:r>
            <w:r w:rsidR="00B92789" w:rsidRPr="00B92789">
              <w:rPr>
                <w:rFonts w:ascii="Calibri" w:hAnsi="Calibri" w:cs="Calibri"/>
                <w:sz w:val="24"/>
                <w:szCs w:val="24"/>
              </w:rPr>
              <w:t xml:space="preserve"> teleconference facilities which include</w:t>
            </w:r>
            <w:r w:rsidR="0039239D">
              <w:rPr>
                <w:rFonts w:ascii="Calibri" w:hAnsi="Calibri" w:cs="Calibri"/>
                <w:sz w:val="24"/>
                <w:szCs w:val="24"/>
              </w:rPr>
              <w:t xml:space="preserve"> </w:t>
            </w:r>
            <w:r w:rsidR="00B92789" w:rsidRPr="00B92789">
              <w:rPr>
                <w:rFonts w:ascii="Calibri" w:hAnsi="Calibri" w:cs="Calibri"/>
                <w:sz w:val="24"/>
                <w:szCs w:val="24"/>
              </w:rPr>
              <w:t xml:space="preserve">TV, wifi router, sound system </w:t>
            </w:r>
            <w:r w:rsidR="0039239D">
              <w:rPr>
                <w:rFonts w:ascii="Calibri" w:hAnsi="Calibri" w:cs="Calibri"/>
                <w:sz w:val="24"/>
                <w:szCs w:val="24"/>
              </w:rPr>
              <w:t xml:space="preserve">etc. </w:t>
            </w:r>
            <w:r w:rsidR="00B92789" w:rsidRPr="00B92789">
              <w:rPr>
                <w:rFonts w:ascii="Calibri" w:hAnsi="Calibri" w:cs="Calibri"/>
                <w:sz w:val="24"/>
                <w:szCs w:val="24"/>
              </w:rPr>
              <w:t xml:space="preserve">for 18 provincial administration (PAs) and district/municipal administration (DMAs) to support implementation of C/S-SDG activities in the COVID-19 context. The investment on these teleconference facilities will be approximately US$ 40,000. </w:t>
            </w:r>
            <w:r w:rsidR="00B92789">
              <w:rPr>
                <w:rFonts w:ascii="Calibri" w:hAnsi="Calibri" w:cs="Calibri"/>
                <w:sz w:val="24"/>
                <w:szCs w:val="24"/>
              </w:rPr>
              <w:t>A</w:t>
            </w:r>
            <w:r w:rsidR="00402557" w:rsidRPr="00402557">
              <w:rPr>
                <w:rFonts w:ascii="Calibri" w:hAnsi="Calibri" w:cs="Calibri"/>
                <w:sz w:val="24"/>
                <w:szCs w:val="24"/>
              </w:rPr>
              <w:t xml:space="preserve"> simple ECOP for </w:t>
            </w:r>
            <w:r w:rsidR="00402557" w:rsidRPr="00402557">
              <w:rPr>
                <w:rFonts w:ascii="Calibri" w:hAnsi="Calibri" w:cs="Calibri"/>
                <w:sz w:val="24"/>
                <w:szCs w:val="24"/>
              </w:rPr>
              <w:lastRenderedPageBreak/>
              <w:t xml:space="preserve">management and disposal of e-waste was prepared as part of this ESMP under Annex </w:t>
            </w:r>
            <w:r w:rsidR="00402557">
              <w:rPr>
                <w:rFonts w:ascii="Calibri" w:hAnsi="Calibri" w:cs="Calibri"/>
                <w:sz w:val="24"/>
                <w:szCs w:val="24"/>
              </w:rPr>
              <w:t>2.</w:t>
            </w:r>
          </w:p>
        </w:tc>
      </w:tr>
      <w:tr w:rsidR="002A1FD1" w14:paraId="6899C159" w14:textId="77777777" w:rsidTr="00D31291">
        <w:tc>
          <w:tcPr>
            <w:tcW w:w="4405" w:type="dxa"/>
          </w:tcPr>
          <w:p w14:paraId="0BCFFD16" w14:textId="7C85F985" w:rsidR="002A1FD1" w:rsidRDefault="00D66F4F" w:rsidP="0006436F">
            <w:pPr>
              <w:tabs>
                <w:tab w:val="left" w:pos="1382"/>
              </w:tabs>
              <w:kinsoku w:val="0"/>
              <w:overflowPunct w:val="0"/>
              <w:autoSpaceDE w:val="0"/>
              <w:autoSpaceDN w:val="0"/>
              <w:adjustRightInd w:val="0"/>
              <w:ind w:right="29"/>
              <w:contextualSpacing/>
              <w:rPr>
                <w:rFonts w:ascii="Calibri" w:hAnsi="Calibri" w:cs="Calibri"/>
                <w:sz w:val="24"/>
                <w:szCs w:val="24"/>
              </w:rPr>
            </w:pPr>
            <w:r>
              <w:rPr>
                <w:rFonts w:ascii="Calibri" w:hAnsi="Calibri" w:cs="Calibri"/>
                <w:sz w:val="24"/>
                <w:szCs w:val="24"/>
              </w:rPr>
              <w:t>Due to the CNP ll promotion-based activities</w:t>
            </w:r>
            <w:r w:rsidR="00E30D31">
              <w:rPr>
                <w:rFonts w:ascii="Calibri" w:hAnsi="Calibri" w:cs="Calibri"/>
                <w:sz w:val="24"/>
                <w:szCs w:val="24"/>
              </w:rPr>
              <w:t xml:space="preserve"> (2024-2026)</w:t>
            </w:r>
            <w:r>
              <w:rPr>
                <w:rFonts w:ascii="Calibri" w:hAnsi="Calibri" w:cs="Calibri"/>
                <w:sz w:val="24"/>
                <w:szCs w:val="24"/>
              </w:rPr>
              <w:t xml:space="preserve">, </w:t>
            </w:r>
            <w:r w:rsidR="0033134C">
              <w:rPr>
                <w:rFonts w:ascii="Calibri" w:hAnsi="Calibri" w:cs="Calibri"/>
                <w:sz w:val="24"/>
                <w:szCs w:val="24"/>
              </w:rPr>
              <w:t>i</w:t>
            </w:r>
            <w:r w:rsidR="00DE6C53">
              <w:rPr>
                <w:rFonts w:ascii="Calibri" w:hAnsi="Calibri" w:cs="Calibri"/>
                <w:sz w:val="24"/>
                <w:szCs w:val="24"/>
              </w:rPr>
              <w:t>ncremental risk of po</w:t>
            </w:r>
            <w:r w:rsidR="00915865">
              <w:rPr>
                <w:rFonts w:ascii="Calibri" w:hAnsi="Calibri" w:cs="Calibri"/>
                <w:sz w:val="24"/>
                <w:szCs w:val="24"/>
              </w:rPr>
              <w:t xml:space="preserve">tentially scale-up healthcare waste generation </w:t>
            </w:r>
            <w:r w:rsidR="0089106E">
              <w:rPr>
                <w:rFonts w:ascii="Calibri" w:hAnsi="Calibri" w:cs="Calibri"/>
                <w:sz w:val="24"/>
                <w:szCs w:val="24"/>
              </w:rPr>
              <w:t xml:space="preserve">is expected </w:t>
            </w:r>
            <w:r w:rsidR="00532C83">
              <w:rPr>
                <w:rFonts w:ascii="Calibri" w:hAnsi="Calibri" w:cs="Calibri"/>
                <w:sz w:val="24"/>
                <w:szCs w:val="24"/>
              </w:rPr>
              <w:t>at the health center</w:t>
            </w:r>
            <w:r w:rsidR="0089106E">
              <w:rPr>
                <w:rFonts w:ascii="Calibri" w:hAnsi="Calibri" w:cs="Calibri"/>
                <w:sz w:val="24"/>
                <w:szCs w:val="24"/>
              </w:rPr>
              <w:t>s</w:t>
            </w:r>
            <w:r w:rsidR="00532C83">
              <w:rPr>
                <w:rFonts w:ascii="Calibri" w:hAnsi="Calibri" w:cs="Calibri"/>
                <w:sz w:val="24"/>
                <w:szCs w:val="24"/>
              </w:rPr>
              <w:t xml:space="preserve"> and community outreach </w:t>
            </w:r>
            <w:r w:rsidR="0098762F">
              <w:rPr>
                <w:rFonts w:ascii="Calibri" w:hAnsi="Calibri" w:cs="Calibri"/>
                <w:sz w:val="24"/>
                <w:szCs w:val="24"/>
              </w:rPr>
              <w:t xml:space="preserve">supported under the CNP-l </w:t>
            </w:r>
          </w:p>
        </w:tc>
        <w:tc>
          <w:tcPr>
            <w:tcW w:w="4805" w:type="dxa"/>
          </w:tcPr>
          <w:p w14:paraId="2711584F" w14:textId="0E21EACC" w:rsidR="002A1FD1" w:rsidRPr="00634DDD" w:rsidRDefault="00DE6C53">
            <w:pPr>
              <w:rPr>
                <w:strike/>
                <w:noProof/>
              </w:rPr>
            </w:pPr>
            <w:r>
              <w:rPr>
                <w:rFonts w:cstheme="minorHAnsi"/>
              </w:rPr>
              <w:t xml:space="preserve">Through provision of C/S SDGs, the CNP-ll will </w:t>
            </w:r>
            <w:r>
              <w:rPr>
                <w:noProof/>
              </w:rPr>
              <w:t xml:space="preserve">encourage communities to use the established healthcare services supported under the CNP-l, and the potential incremental healthcare waste generation is expected during 2024-2026 as indirect impacts of CNP-ll promotion activities . </w:t>
            </w:r>
          </w:p>
          <w:p w14:paraId="452CF402" w14:textId="6D57568C" w:rsidR="008605CE" w:rsidRPr="00634DDD" w:rsidRDefault="008605CE" w:rsidP="00634DDD">
            <w:pPr>
              <w:rPr>
                <w:rFonts w:ascii="Calibri" w:hAnsi="Calibri" w:cs="Calibri"/>
                <w:sz w:val="24"/>
                <w:szCs w:val="24"/>
              </w:rPr>
            </w:pPr>
            <w:r w:rsidRPr="00634DDD">
              <w:rPr>
                <w:rFonts w:ascii="Calibri" w:hAnsi="Calibri"/>
                <w:sz w:val="24"/>
                <w:szCs w:val="24"/>
              </w:rPr>
              <w:t>The NCDDS will coordinate with the MOH to ensure management of these potentially scale-up healthcare waste generation (spent vaccines and syringes) at the healthcare and during community outreach activities</w:t>
            </w:r>
            <w:r w:rsidR="00092677" w:rsidRPr="00634DDD">
              <w:rPr>
                <w:rFonts w:ascii="Calibri" w:hAnsi="Calibri"/>
                <w:sz w:val="24"/>
                <w:szCs w:val="24"/>
              </w:rPr>
              <w:t xml:space="preserve"> under CNP l.</w:t>
            </w:r>
          </w:p>
        </w:tc>
      </w:tr>
      <w:tr w:rsidR="00BE28F2" w14:paraId="5A7A6D21" w14:textId="77777777" w:rsidTr="00D31291">
        <w:tc>
          <w:tcPr>
            <w:tcW w:w="4405" w:type="dxa"/>
          </w:tcPr>
          <w:p w14:paraId="3E1EEB47" w14:textId="16EC23AC" w:rsidR="00BE28F2" w:rsidRDefault="00A331E1" w:rsidP="00CF2E0F">
            <w:pPr>
              <w:tabs>
                <w:tab w:val="left" w:pos="1382"/>
              </w:tabs>
              <w:kinsoku w:val="0"/>
              <w:overflowPunct w:val="0"/>
              <w:autoSpaceDE w:val="0"/>
              <w:autoSpaceDN w:val="0"/>
              <w:adjustRightInd w:val="0"/>
              <w:ind w:right="29"/>
              <w:contextualSpacing/>
              <w:rPr>
                <w:rFonts w:ascii="Calibri" w:hAnsi="Calibri" w:cs="Calibri"/>
                <w:sz w:val="24"/>
                <w:szCs w:val="24"/>
              </w:rPr>
            </w:pPr>
            <w:r>
              <w:rPr>
                <w:rFonts w:ascii="Calibri" w:hAnsi="Calibri" w:cs="Calibri"/>
                <w:sz w:val="24"/>
                <w:szCs w:val="24"/>
              </w:rPr>
              <w:t>SEA/SH and VAC risks associated with</w:t>
            </w:r>
            <w:r w:rsidR="00810B60">
              <w:rPr>
                <w:rFonts w:ascii="Calibri" w:hAnsi="Calibri" w:cs="Calibri"/>
                <w:sz w:val="24"/>
                <w:szCs w:val="24"/>
              </w:rPr>
              <w:t xml:space="preserve"> project activities where physical interactions are envisaged, i.e., door-to-door home visits, community meetings, </w:t>
            </w:r>
            <w:r w:rsidR="00CF2E0F">
              <w:rPr>
                <w:rFonts w:ascii="Calibri" w:hAnsi="Calibri" w:cs="Calibri"/>
                <w:sz w:val="24"/>
                <w:szCs w:val="24"/>
              </w:rPr>
              <w:t>SAM screening</w:t>
            </w:r>
          </w:p>
        </w:tc>
        <w:tc>
          <w:tcPr>
            <w:tcW w:w="4805" w:type="dxa"/>
          </w:tcPr>
          <w:p w14:paraId="4334C51B" w14:textId="51E66745" w:rsidR="00BE28F2" w:rsidRDefault="00A331E1" w:rsidP="00A331E1">
            <w:pPr>
              <w:tabs>
                <w:tab w:val="left" w:pos="1382"/>
              </w:tabs>
              <w:kinsoku w:val="0"/>
              <w:overflowPunct w:val="0"/>
              <w:autoSpaceDE w:val="0"/>
              <w:autoSpaceDN w:val="0"/>
              <w:adjustRightInd w:val="0"/>
              <w:ind w:right="29"/>
              <w:contextualSpacing/>
              <w:rPr>
                <w:rFonts w:ascii="Calibri" w:hAnsi="Calibri" w:cs="Calibri"/>
                <w:sz w:val="24"/>
                <w:szCs w:val="24"/>
              </w:rPr>
            </w:pPr>
            <w:r w:rsidRPr="00A331E1">
              <w:rPr>
                <w:rFonts w:ascii="Calibri" w:hAnsi="Calibri" w:cs="Calibri"/>
                <w:b/>
                <w:bCs/>
                <w:sz w:val="24"/>
                <w:szCs w:val="24"/>
              </w:rPr>
              <w:t>SEA/SH and VAC prevention:</w:t>
            </w:r>
            <w:r w:rsidRPr="00A331E1">
              <w:rPr>
                <w:rFonts w:ascii="Calibri" w:hAnsi="Calibri" w:cs="Calibri"/>
                <w:sz w:val="24"/>
                <w:szCs w:val="24"/>
              </w:rPr>
              <w:t xml:space="preserve">  potential risks associated with SEA/SH and VAC are considered not significant since there is no labor influx. However, due to the nature of the project activities where direct interactions, including physical examination, may occur as part of project implementation, such risks are considered relevant. Further, C/S key actors, especially the Commune Committee for Women and Children focal persons (CCWC) and village health support groups (VHSG) are not trained or prepared to serve women, mothers and children with non-judgmental, and respectful attitudes, supporting their safety confidentially. SEA/SH and VAC prevention strategy has been prepared in Annex </w:t>
            </w:r>
            <w:r>
              <w:rPr>
                <w:rFonts w:ascii="Calibri" w:hAnsi="Calibri" w:cs="Calibri"/>
                <w:sz w:val="24"/>
                <w:szCs w:val="24"/>
              </w:rPr>
              <w:t>3</w:t>
            </w:r>
            <w:r w:rsidRPr="00A331E1">
              <w:rPr>
                <w:rFonts w:ascii="Calibri" w:hAnsi="Calibri" w:cs="Calibri"/>
                <w:sz w:val="24"/>
                <w:szCs w:val="24"/>
              </w:rPr>
              <w:t xml:space="preserve"> of the ESMP.</w:t>
            </w:r>
          </w:p>
        </w:tc>
      </w:tr>
      <w:tr w:rsidR="00BE28F2" w14:paraId="37397318" w14:textId="77777777" w:rsidTr="00D31291">
        <w:tc>
          <w:tcPr>
            <w:tcW w:w="4405" w:type="dxa"/>
          </w:tcPr>
          <w:p w14:paraId="25B98067" w14:textId="306B151C" w:rsidR="00BE28F2" w:rsidRDefault="007F5451" w:rsidP="007F5451">
            <w:pPr>
              <w:tabs>
                <w:tab w:val="left" w:pos="1382"/>
              </w:tabs>
              <w:kinsoku w:val="0"/>
              <w:overflowPunct w:val="0"/>
              <w:autoSpaceDE w:val="0"/>
              <w:autoSpaceDN w:val="0"/>
              <w:adjustRightInd w:val="0"/>
              <w:ind w:right="29"/>
              <w:contextualSpacing/>
              <w:rPr>
                <w:rFonts w:ascii="Calibri" w:hAnsi="Calibri" w:cs="Calibri"/>
                <w:sz w:val="24"/>
                <w:szCs w:val="24"/>
              </w:rPr>
            </w:pPr>
            <w:r>
              <w:rPr>
                <w:rFonts w:ascii="Calibri" w:hAnsi="Calibri" w:cs="Calibri"/>
                <w:sz w:val="24"/>
                <w:szCs w:val="24"/>
              </w:rPr>
              <w:t>Risks associated with labor use, including OHS, fair and non-discriminatory treatments in the workplace, etc.</w:t>
            </w:r>
          </w:p>
        </w:tc>
        <w:tc>
          <w:tcPr>
            <w:tcW w:w="4805" w:type="dxa"/>
          </w:tcPr>
          <w:p w14:paraId="587FBB18" w14:textId="299E0BF4" w:rsidR="00BE28F2" w:rsidRDefault="00CF2E0F" w:rsidP="00B45F76">
            <w:pPr>
              <w:tabs>
                <w:tab w:val="left" w:pos="1382"/>
              </w:tabs>
              <w:kinsoku w:val="0"/>
              <w:overflowPunct w:val="0"/>
              <w:autoSpaceDE w:val="0"/>
              <w:autoSpaceDN w:val="0"/>
              <w:adjustRightInd w:val="0"/>
              <w:ind w:right="29"/>
              <w:contextualSpacing/>
              <w:rPr>
                <w:rFonts w:ascii="Calibri" w:hAnsi="Calibri" w:cs="Calibri"/>
                <w:sz w:val="24"/>
                <w:szCs w:val="24"/>
              </w:rPr>
            </w:pPr>
            <w:r w:rsidRPr="00CF2E0F">
              <w:rPr>
                <w:rFonts w:ascii="Calibri" w:hAnsi="Calibri" w:cs="Calibri"/>
                <w:b/>
                <w:bCs/>
                <w:sz w:val="24"/>
                <w:szCs w:val="24"/>
              </w:rPr>
              <w:t>Labor Management Procedures (LMP):</w:t>
            </w:r>
            <w:r w:rsidRPr="00CF2E0F">
              <w:rPr>
                <w:rFonts w:ascii="Calibri" w:hAnsi="Calibri" w:cs="Calibri"/>
                <w:sz w:val="24"/>
                <w:szCs w:val="24"/>
              </w:rPr>
              <w:t xml:space="preserve"> an LMP is presented in Annex </w:t>
            </w:r>
            <w:r>
              <w:rPr>
                <w:rFonts w:ascii="Calibri" w:hAnsi="Calibri" w:cs="Calibri"/>
                <w:sz w:val="24"/>
                <w:szCs w:val="24"/>
              </w:rPr>
              <w:t>4</w:t>
            </w:r>
            <w:r w:rsidRPr="00CF2E0F">
              <w:rPr>
                <w:rFonts w:ascii="Calibri" w:hAnsi="Calibri" w:cs="Calibri"/>
                <w:sz w:val="24"/>
                <w:szCs w:val="24"/>
              </w:rPr>
              <w:t xml:space="preserve"> to the ESMP. The LMP outlines key risk mitigation measures associated with use of labor and their deployment to project locations. These include COVID-19 IPC prevention, and broader OHS aspects and employment related aspects under CNP-II.</w:t>
            </w:r>
          </w:p>
        </w:tc>
      </w:tr>
      <w:tr w:rsidR="00BE28F2" w14:paraId="5F222AD7" w14:textId="77777777" w:rsidTr="00D31291">
        <w:tc>
          <w:tcPr>
            <w:tcW w:w="4405" w:type="dxa"/>
          </w:tcPr>
          <w:p w14:paraId="32011E5C" w14:textId="78ADD212" w:rsidR="00BE28F2" w:rsidRDefault="007F5451" w:rsidP="00D31291">
            <w:pPr>
              <w:tabs>
                <w:tab w:val="left" w:pos="1382"/>
              </w:tabs>
              <w:kinsoku w:val="0"/>
              <w:overflowPunct w:val="0"/>
              <w:autoSpaceDE w:val="0"/>
              <w:autoSpaceDN w:val="0"/>
              <w:adjustRightInd w:val="0"/>
              <w:ind w:right="29"/>
              <w:contextualSpacing/>
              <w:rPr>
                <w:rFonts w:ascii="Calibri" w:hAnsi="Calibri" w:cs="Calibri"/>
                <w:sz w:val="24"/>
                <w:szCs w:val="24"/>
              </w:rPr>
            </w:pPr>
            <w:r>
              <w:rPr>
                <w:rFonts w:ascii="Calibri" w:hAnsi="Calibri" w:cs="Calibri"/>
                <w:sz w:val="24"/>
                <w:szCs w:val="24"/>
              </w:rPr>
              <w:t xml:space="preserve">Risks associated with project implementation where there is presence of Indigenous Peoples under ESS7 and </w:t>
            </w:r>
            <w:r w:rsidR="00D31291">
              <w:rPr>
                <w:rFonts w:ascii="Calibri" w:hAnsi="Calibri" w:cs="Calibri"/>
                <w:sz w:val="24"/>
                <w:szCs w:val="24"/>
              </w:rPr>
              <w:t>key measures to enhance development opportunities through inclusive participation and engagement and provisions of culturally and socially acceptable services.</w:t>
            </w:r>
          </w:p>
        </w:tc>
        <w:tc>
          <w:tcPr>
            <w:tcW w:w="4805" w:type="dxa"/>
          </w:tcPr>
          <w:p w14:paraId="6FF68390" w14:textId="79BA9C4C" w:rsidR="00BE28F2" w:rsidRDefault="007F5451" w:rsidP="007F5451">
            <w:pPr>
              <w:tabs>
                <w:tab w:val="left" w:pos="1382"/>
              </w:tabs>
              <w:kinsoku w:val="0"/>
              <w:overflowPunct w:val="0"/>
              <w:autoSpaceDE w:val="0"/>
              <w:autoSpaceDN w:val="0"/>
              <w:adjustRightInd w:val="0"/>
              <w:ind w:right="29"/>
              <w:contextualSpacing/>
              <w:rPr>
                <w:rFonts w:ascii="Calibri" w:hAnsi="Calibri" w:cs="Calibri"/>
                <w:sz w:val="24"/>
                <w:szCs w:val="24"/>
              </w:rPr>
            </w:pPr>
            <w:r w:rsidRPr="007F5451">
              <w:rPr>
                <w:rFonts w:ascii="Calibri" w:hAnsi="Calibri" w:cs="Calibri"/>
                <w:b/>
                <w:bCs/>
                <w:sz w:val="24"/>
                <w:szCs w:val="24"/>
              </w:rPr>
              <w:t>Indigenous Peoples Planning Framework (IPPF):</w:t>
            </w:r>
            <w:r w:rsidRPr="007F5451">
              <w:rPr>
                <w:rFonts w:ascii="Calibri" w:hAnsi="Calibri" w:cs="Calibri"/>
                <w:sz w:val="24"/>
                <w:szCs w:val="24"/>
              </w:rPr>
              <w:t xml:space="preserve"> an IPPF has been prepared as a standalone document integral to the ESMP. The IPPF outlines key measures to promote meaningful and inclusive community engagement and provisions of socio-culturally services under the project, as well as requisite capacity building to implementing entities and provisions of </w:t>
            </w:r>
            <w:r w:rsidRPr="007F5451">
              <w:rPr>
                <w:rFonts w:ascii="Calibri" w:hAnsi="Calibri" w:cs="Calibri"/>
                <w:sz w:val="24"/>
                <w:szCs w:val="24"/>
              </w:rPr>
              <w:lastRenderedPageBreak/>
              <w:t>accessible and safe FGRMs to target communities who are assessed as Indigenous Peoples under ESS7. The IPPF also seeks to provide opportunities for Indigenous Peoples in targeted project areas to benefit from the project activities.</w:t>
            </w:r>
          </w:p>
        </w:tc>
      </w:tr>
    </w:tbl>
    <w:p w14:paraId="065D63C5" w14:textId="77777777" w:rsidR="003A0D7C" w:rsidRDefault="003A0D7C" w:rsidP="002746B5">
      <w:pPr>
        <w:kinsoku w:val="0"/>
        <w:overflowPunct w:val="0"/>
        <w:autoSpaceDE w:val="0"/>
        <w:autoSpaceDN w:val="0"/>
        <w:adjustRightInd w:val="0"/>
        <w:spacing w:before="1" w:after="0" w:line="240" w:lineRule="auto"/>
        <w:ind w:right="30"/>
        <w:jc w:val="both"/>
        <w:rPr>
          <w:rFonts w:ascii="Calibri" w:hAnsi="Calibri" w:cs="Calibri"/>
          <w:b/>
          <w:bCs/>
          <w:sz w:val="28"/>
          <w:szCs w:val="28"/>
        </w:rPr>
      </w:pPr>
    </w:p>
    <w:p w14:paraId="47C9221B" w14:textId="57B704E5" w:rsidR="003A0D7C" w:rsidRPr="0076597C" w:rsidRDefault="782D62A7" w:rsidP="00B45F76">
      <w:pPr>
        <w:numPr>
          <w:ilvl w:val="1"/>
          <w:numId w:val="12"/>
        </w:numPr>
        <w:tabs>
          <w:tab w:val="left" w:pos="450"/>
        </w:tabs>
        <w:kinsoku w:val="0"/>
        <w:overflowPunct w:val="0"/>
        <w:autoSpaceDE w:val="0"/>
        <w:autoSpaceDN w:val="0"/>
        <w:adjustRightInd w:val="0"/>
        <w:spacing w:before="120" w:after="120" w:line="240" w:lineRule="auto"/>
        <w:ind w:left="-90" w:right="29" w:firstLine="0"/>
        <w:jc w:val="both"/>
        <w:rPr>
          <w:rFonts w:ascii="Calibri" w:hAnsi="Calibri" w:cs="Calibri"/>
          <w:b/>
          <w:bCs/>
          <w:sz w:val="28"/>
          <w:szCs w:val="28"/>
        </w:rPr>
      </w:pPr>
      <w:r w:rsidRPr="7B4010DD">
        <w:rPr>
          <w:rFonts w:ascii="Calibri" w:hAnsi="Calibri" w:cs="Calibri"/>
          <w:b/>
          <w:bCs/>
          <w:sz w:val="28"/>
          <w:szCs w:val="28"/>
        </w:rPr>
        <w:t>GRIEVANCE HANDLING</w:t>
      </w:r>
    </w:p>
    <w:p w14:paraId="63CD98ED" w14:textId="13FFF035" w:rsidR="00005014" w:rsidRPr="001B3941" w:rsidRDefault="0099645E" w:rsidP="00B45F76">
      <w:pPr>
        <w:spacing w:before="120" w:after="120" w:line="240" w:lineRule="auto"/>
        <w:ind w:left="-90" w:right="29"/>
        <w:jc w:val="both"/>
        <w:rPr>
          <w:rFonts w:cstheme="minorHAnsi"/>
          <w:sz w:val="24"/>
          <w:szCs w:val="24"/>
        </w:rPr>
      </w:pPr>
      <w:bookmarkStart w:id="11" w:name="_Toc83617777"/>
      <w:bookmarkEnd w:id="11"/>
      <w:r w:rsidRPr="00C215CA">
        <w:rPr>
          <w:rFonts w:cstheme="minorHAnsi"/>
          <w:sz w:val="24"/>
          <w:szCs w:val="24"/>
        </w:rPr>
        <w:t>Quarterly summaries and internal reports on public grievances, enquiries and related incidents, together with the status of implementation of associated corrective/preventative actions, will be collated by the designated GRM</w:t>
      </w:r>
      <w:r w:rsidR="00462998">
        <w:rPr>
          <w:rFonts w:cstheme="minorHAnsi"/>
          <w:sz w:val="24"/>
          <w:szCs w:val="24"/>
        </w:rPr>
        <w:t xml:space="preserve"> as indicated in the CPWC guideline</w:t>
      </w:r>
      <w:r w:rsidRPr="00C215CA">
        <w:rPr>
          <w:rFonts w:cstheme="minorHAnsi"/>
          <w:sz w:val="24"/>
          <w:szCs w:val="24"/>
        </w:rPr>
        <w:t>. The quarterly summaries will provide a mechanism for assessing both the number and the nature of complaints and requests for information</w:t>
      </w:r>
      <w:r w:rsidRPr="001B3941">
        <w:rPr>
          <w:rFonts w:cstheme="minorHAnsi"/>
          <w:sz w:val="24"/>
          <w:szCs w:val="24"/>
        </w:rPr>
        <w:t xml:space="preserve">, along with the Project’s ability to address those in a timely and effective manner. </w:t>
      </w:r>
      <w:r w:rsidR="00005014">
        <w:rPr>
          <w:rFonts w:cstheme="minorHAnsi"/>
          <w:sz w:val="24"/>
          <w:szCs w:val="24"/>
        </w:rPr>
        <w:t xml:space="preserve"> Additional information is detailed in Annex </w:t>
      </w:r>
      <w:r w:rsidR="003D0F00">
        <w:rPr>
          <w:rFonts w:cstheme="minorHAnsi"/>
          <w:sz w:val="24"/>
          <w:szCs w:val="24"/>
        </w:rPr>
        <w:t>8</w:t>
      </w:r>
      <w:r w:rsidR="00005014">
        <w:rPr>
          <w:rFonts w:cstheme="minorHAnsi"/>
          <w:sz w:val="24"/>
          <w:szCs w:val="24"/>
        </w:rPr>
        <w:t>.</w:t>
      </w:r>
    </w:p>
    <w:p w14:paraId="1117A675" w14:textId="53CD9A4E" w:rsidR="003D0F00" w:rsidRPr="001B3941" w:rsidRDefault="7B4010DD" w:rsidP="00B45F76">
      <w:pPr>
        <w:tabs>
          <w:tab w:val="left" w:pos="720"/>
        </w:tabs>
        <w:spacing w:before="120" w:after="120" w:line="240" w:lineRule="auto"/>
        <w:ind w:left="-90" w:right="30"/>
        <w:jc w:val="both"/>
        <w:rPr>
          <w:rFonts w:cstheme="minorHAnsi"/>
          <w:bCs/>
          <w:sz w:val="24"/>
          <w:szCs w:val="24"/>
        </w:rPr>
      </w:pPr>
      <w:r w:rsidRPr="7B4010DD">
        <w:rPr>
          <w:sz w:val="24"/>
          <w:szCs w:val="24"/>
        </w:rPr>
        <w:t>The grievance reporting mechanism is interlinked between CNP l and CNP ll.</w:t>
      </w:r>
      <w:r w:rsidR="698A5033" w:rsidRPr="7B4010DD">
        <w:rPr>
          <w:sz w:val="24"/>
          <w:szCs w:val="24"/>
        </w:rPr>
        <w:t xml:space="preserve"> </w:t>
      </w:r>
      <w:r w:rsidRPr="7B4010DD">
        <w:rPr>
          <w:sz w:val="24"/>
          <w:szCs w:val="24"/>
        </w:rPr>
        <w:t xml:space="preserve">For </w:t>
      </w:r>
      <w:r w:rsidR="3C93C826" w:rsidRPr="7B4010DD">
        <w:rPr>
          <w:sz w:val="24"/>
          <w:szCs w:val="24"/>
        </w:rPr>
        <w:t>CNP ll</w:t>
      </w:r>
      <w:r w:rsidRPr="7B4010DD">
        <w:rPr>
          <w:sz w:val="24"/>
          <w:szCs w:val="24"/>
        </w:rPr>
        <w:t xml:space="preserve"> activities, community members may use the subnational government system to provide feedback or report grievances on activities led by commune</w:t>
      </w:r>
      <w:r w:rsidR="00AA6C66">
        <w:rPr>
          <w:sz w:val="24"/>
          <w:szCs w:val="24"/>
        </w:rPr>
        <w:t>/sangkat</w:t>
      </w:r>
      <w:r w:rsidRPr="7B4010DD">
        <w:rPr>
          <w:sz w:val="24"/>
          <w:szCs w:val="24"/>
        </w:rPr>
        <w:t xml:space="preserve"> </w:t>
      </w:r>
      <w:r w:rsidR="00AA6C66">
        <w:rPr>
          <w:sz w:val="24"/>
          <w:szCs w:val="24"/>
        </w:rPr>
        <w:t xml:space="preserve">(C/S) </w:t>
      </w:r>
      <w:r w:rsidRPr="7B4010DD">
        <w:rPr>
          <w:sz w:val="24"/>
          <w:szCs w:val="24"/>
        </w:rPr>
        <w:t>and district</w:t>
      </w:r>
      <w:r w:rsidR="00AA6C66">
        <w:rPr>
          <w:sz w:val="24"/>
          <w:szCs w:val="24"/>
        </w:rPr>
        <w:t>/municipal</w:t>
      </w:r>
      <w:r w:rsidRPr="7B4010DD">
        <w:rPr>
          <w:sz w:val="24"/>
          <w:szCs w:val="24"/>
        </w:rPr>
        <w:t xml:space="preserve"> administration</w:t>
      </w:r>
      <w:r w:rsidR="00AA6C66">
        <w:rPr>
          <w:sz w:val="24"/>
          <w:szCs w:val="24"/>
        </w:rPr>
        <w:t xml:space="preserve"> (DMA)</w:t>
      </w:r>
      <w:r w:rsidRPr="7B4010DD">
        <w:rPr>
          <w:sz w:val="24"/>
          <w:szCs w:val="24"/>
        </w:rPr>
        <w:t xml:space="preserve"> by reporting through the commune</w:t>
      </w:r>
      <w:r w:rsidR="00AA6C66">
        <w:rPr>
          <w:sz w:val="24"/>
          <w:szCs w:val="24"/>
        </w:rPr>
        <w:t>/sangkat</w:t>
      </w:r>
      <w:r w:rsidRPr="7B4010DD">
        <w:rPr>
          <w:sz w:val="24"/>
          <w:szCs w:val="24"/>
        </w:rPr>
        <w:t>, district</w:t>
      </w:r>
      <w:r w:rsidR="00AA6C66">
        <w:rPr>
          <w:sz w:val="24"/>
          <w:szCs w:val="24"/>
        </w:rPr>
        <w:t>/municipal</w:t>
      </w:r>
      <w:r w:rsidRPr="7B4010DD">
        <w:rPr>
          <w:sz w:val="24"/>
          <w:szCs w:val="24"/>
        </w:rPr>
        <w:t xml:space="preserve">, and provincial administrations and the NCDDS at the national level. </w:t>
      </w:r>
      <w:r w:rsidR="0D640C40" w:rsidRPr="7B4010DD">
        <w:rPr>
          <w:sz w:val="24"/>
          <w:szCs w:val="24"/>
        </w:rPr>
        <w:t>Also there may be grievances related to the services provided by the MOH</w:t>
      </w:r>
      <w:r w:rsidR="2458A2A1" w:rsidRPr="7B4010DD">
        <w:rPr>
          <w:sz w:val="24"/>
          <w:szCs w:val="24"/>
        </w:rPr>
        <w:t xml:space="preserve"> due to the defined role of NCDDS under CNP l that involves encou</w:t>
      </w:r>
      <w:r w:rsidR="3582CDA3" w:rsidRPr="7B4010DD">
        <w:rPr>
          <w:sz w:val="24"/>
          <w:szCs w:val="24"/>
        </w:rPr>
        <w:t>r</w:t>
      </w:r>
      <w:r w:rsidR="2458A2A1" w:rsidRPr="7B4010DD">
        <w:rPr>
          <w:sz w:val="24"/>
          <w:szCs w:val="24"/>
        </w:rPr>
        <w:t>aging</w:t>
      </w:r>
      <w:r w:rsidR="2458A2A1" w:rsidRPr="7B4010DD">
        <w:rPr>
          <w:rFonts w:ascii="Calibri" w:eastAsia="Calibri" w:hAnsi="Calibri" w:cs="Calibri"/>
          <w:b/>
          <w:bCs/>
        </w:rPr>
        <w:t xml:space="preserve"> </w:t>
      </w:r>
      <w:r w:rsidR="6FDF8DF7" w:rsidRPr="002746B5">
        <w:rPr>
          <w:rFonts w:ascii="Calibri" w:eastAsia="Calibri" w:hAnsi="Calibri" w:cs="Calibri"/>
          <w:sz w:val="24"/>
          <w:szCs w:val="24"/>
        </w:rPr>
        <w:t>communities</w:t>
      </w:r>
      <w:r w:rsidR="6FDF8DF7" w:rsidRPr="7B4010DD">
        <w:rPr>
          <w:rFonts w:ascii="Calibri" w:eastAsia="Calibri" w:hAnsi="Calibri" w:cs="Calibri"/>
          <w:b/>
          <w:bCs/>
        </w:rPr>
        <w:t xml:space="preserve"> </w:t>
      </w:r>
      <w:r w:rsidR="2458A2A1" w:rsidRPr="002746B5">
        <w:rPr>
          <w:sz w:val="24"/>
          <w:szCs w:val="24"/>
        </w:rPr>
        <w:t>to report about health facility waste, hygiene</w:t>
      </w:r>
      <w:r w:rsidR="48325EAD" w:rsidRPr="7B4010DD">
        <w:rPr>
          <w:sz w:val="24"/>
          <w:szCs w:val="24"/>
        </w:rPr>
        <w:t xml:space="preserve"> and </w:t>
      </w:r>
      <w:r w:rsidR="2458A2A1" w:rsidRPr="002746B5">
        <w:rPr>
          <w:sz w:val="24"/>
          <w:szCs w:val="24"/>
        </w:rPr>
        <w:t xml:space="preserve">sanitation </w:t>
      </w:r>
      <w:r w:rsidR="707102AA" w:rsidRPr="7B4010DD">
        <w:rPr>
          <w:sz w:val="24"/>
          <w:szCs w:val="24"/>
        </w:rPr>
        <w:t xml:space="preserve">in health facilities, </w:t>
      </w:r>
      <w:r w:rsidR="2458A2A1" w:rsidRPr="002746B5">
        <w:rPr>
          <w:sz w:val="24"/>
          <w:szCs w:val="24"/>
        </w:rPr>
        <w:t>and smoke from incinerators</w:t>
      </w:r>
      <w:r w:rsidR="138F072F" w:rsidRPr="7B4010DD">
        <w:rPr>
          <w:sz w:val="24"/>
          <w:szCs w:val="24"/>
        </w:rPr>
        <w:t xml:space="preserve"> etc</w:t>
      </w:r>
      <w:r w:rsidR="0D640C40" w:rsidRPr="7B4010DD">
        <w:rPr>
          <w:sz w:val="24"/>
          <w:szCs w:val="24"/>
        </w:rPr>
        <w:t xml:space="preserve">. </w:t>
      </w:r>
      <w:r w:rsidR="00AA6C66">
        <w:rPr>
          <w:sz w:val="24"/>
          <w:szCs w:val="24"/>
        </w:rPr>
        <w:t xml:space="preserve">Under CNPI and CNPII, C/S administration and Health Center Management Committee are the GRM at the local level. </w:t>
      </w:r>
      <w:r w:rsidR="0070AD7B" w:rsidRPr="7B4010DD">
        <w:rPr>
          <w:sz w:val="24"/>
          <w:szCs w:val="24"/>
        </w:rPr>
        <w:t xml:space="preserve">The NCDDS will collaborate with MOH in resolution of such grievances. </w:t>
      </w:r>
      <w:r w:rsidRPr="7B4010DD">
        <w:rPr>
          <w:sz w:val="24"/>
          <w:szCs w:val="24"/>
        </w:rPr>
        <w:t xml:space="preserve">Contact information for the MOH and NCDDS staff specifically responsible for the project will be provided on project documentation and in electronic communications to allow for direct feedback or grievance reporting by project staff. Any such feedback and grievances will be recorded in a spreadsheet or database to ensure issues are resolved and responses tracked. </w:t>
      </w:r>
    </w:p>
    <w:p w14:paraId="6FED53A7" w14:textId="4C99CD6B" w:rsidR="0099645E" w:rsidRPr="004F651B" w:rsidRDefault="003D0F00" w:rsidP="00B45F76">
      <w:pPr>
        <w:spacing w:before="120" w:after="120" w:line="240" w:lineRule="auto"/>
        <w:ind w:left="-90" w:right="29"/>
        <w:jc w:val="both"/>
        <w:rPr>
          <w:rFonts w:cstheme="minorHAnsi"/>
          <w:sz w:val="24"/>
          <w:szCs w:val="24"/>
          <w:lang w:val="en-GB"/>
        </w:rPr>
      </w:pPr>
      <w:r w:rsidRPr="002746B5">
        <w:rPr>
          <w:rFonts w:cstheme="minorHAnsi"/>
          <w:b/>
          <w:bCs/>
          <w:sz w:val="24"/>
          <w:szCs w:val="24"/>
          <w:lang w:val="en-GB"/>
        </w:rPr>
        <w:t>Incident Reporting:</w:t>
      </w:r>
      <w:r w:rsidRPr="004F651B">
        <w:rPr>
          <w:rFonts w:cstheme="minorHAnsi"/>
          <w:sz w:val="24"/>
          <w:szCs w:val="24"/>
          <w:lang w:val="en-GB"/>
        </w:rPr>
        <w:t xml:space="preserve"> t</w:t>
      </w:r>
      <w:r w:rsidR="0099645E" w:rsidRPr="004F651B">
        <w:rPr>
          <w:rFonts w:cstheme="minorHAnsi"/>
          <w:sz w:val="24"/>
          <w:szCs w:val="24"/>
          <w:lang w:val="en-GB"/>
        </w:rPr>
        <w:t xml:space="preserve">he </w:t>
      </w:r>
      <w:r w:rsidR="003450BE" w:rsidRPr="004F651B">
        <w:rPr>
          <w:rFonts w:cstheme="minorHAnsi"/>
          <w:sz w:val="24"/>
          <w:szCs w:val="24"/>
          <w:lang w:val="en-GB"/>
        </w:rPr>
        <w:t xml:space="preserve">project </w:t>
      </w:r>
      <w:r w:rsidR="0099645E" w:rsidRPr="004F651B">
        <w:rPr>
          <w:rFonts w:cstheme="minorHAnsi"/>
          <w:sz w:val="24"/>
          <w:szCs w:val="24"/>
          <w:lang w:val="en-GB"/>
        </w:rPr>
        <w:t xml:space="preserve">will respond to </w:t>
      </w:r>
      <w:r w:rsidRPr="004F651B">
        <w:rPr>
          <w:rFonts w:cstheme="minorHAnsi"/>
          <w:sz w:val="24"/>
          <w:szCs w:val="24"/>
          <w:lang w:val="en-GB"/>
        </w:rPr>
        <w:t>p</w:t>
      </w:r>
      <w:r w:rsidR="0099645E" w:rsidRPr="004F651B">
        <w:rPr>
          <w:rFonts w:cstheme="minorHAnsi"/>
          <w:sz w:val="24"/>
          <w:szCs w:val="24"/>
          <w:lang w:val="en-GB"/>
        </w:rPr>
        <w:t>roject-related</w:t>
      </w:r>
      <w:r w:rsidRPr="004F651B">
        <w:rPr>
          <w:rFonts w:cstheme="minorHAnsi"/>
          <w:sz w:val="24"/>
          <w:szCs w:val="24"/>
          <w:lang w:val="en-GB"/>
        </w:rPr>
        <w:t xml:space="preserve"> environmental and social</w:t>
      </w:r>
      <w:r w:rsidR="0099645E" w:rsidRPr="004F651B">
        <w:rPr>
          <w:rFonts w:cstheme="minorHAnsi"/>
          <w:sz w:val="24"/>
          <w:szCs w:val="24"/>
          <w:lang w:val="en-GB"/>
        </w:rPr>
        <w:t xml:space="preserve"> incidents that occur during Project implementation in accordance with the World Bank’s Environmental and Social Incident Reporting Toolkit (ESIRT).</w:t>
      </w:r>
      <w:r w:rsidRPr="004F651B">
        <w:rPr>
          <w:rFonts w:cstheme="minorHAnsi"/>
          <w:sz w:val="24"/>
          <w:szCs w:val="24"/>
          <w:lang w:val="en-GB"/>
        </w:rPr>
        <w:t xml:space="preserve"> These may include potential incidents which lead to major injuries and fatalities as well as COVID-19 clusters as a result of project activities. </w:t>
      </w:r>
    </w:p>
    <w:p w14:paraId="2228641F" w14:textId="219B4978" w:rsidR="004F651B" w:rsidRPr="004F651B" w:rsidRDefault="003D0F00" w:rsidP="00B45F76">
      <w:pPr>
        <w:spacing w:before="120" w:after="120" w:line="240" w:lineRule="auto"/>
        <w:ind w:left="-90" w:right="29"/>
        <w:jc w:val="both"/>
        <w:rPr>
          <w:rFonts w:cstheme="minorHAnsi"/>
          <w:sz w:val="24"/>
          <w:szCs w:val="24"/>
          <w:lang w:val="en-GB"/>
        </w:rPr>
      </w:pPr>
      <w:r w:rsidRPr="004F651B">
        <w:rPr>
          <w:rFonts w:cstheme="minorHAnsi"/>
          <w:sz w:val="24"/>
          <w:szCs w:val="24"/>
          <w:lang w:val="en-GB"/>
        </w:rPr>
        <w:t xml:space="preserve">The project is required to </w:t>
      </w:r>
      <w:r w:rsidR="004F651B" w:rsidRPr="004F651B">
        <w:rPr>
          <w:rFonts w:cstheme="minorHAnsi"/>
          <w:sz w:val="24"/>
          <w:szCs w:val="24"/>
          <w:lang w:val="en-GB"/>
        </w:rPr>
        <w:t xml:space="preserve">perform the following: </w:t>
      </w:r>
    </w:p>
    <w:p w14:paraId="207721A9" w14:textId="38529EA8" w:rsidR="0099645E" w:rsidRPr="002746B5" w:rsidRDefault="0099645E" w:rsidP="00143EC8">
      <w:pPr>
        <w:pStyle w:val="ListParagraph"/>
        <w:numPr>
          <w:ilvl w:val="0"/>
          <w:numId w:val="102"/>
        </w:numPr>
        <w:spacing w:before="120" w:after="120"/>
        <w:ind w:left="270" w:right="29"/>
        <w:jc w:val="both"/>
        <w:rPr>
          <w:rFonts w:cstheme="minorHAnsi"/>
          <w:lang w:val="en-GB"/>
        </w:rPr>
      </w:pPr>
      <w:r w:rsidRPr="002746B5">
        <w:rPr>
          <w:rFonts w:cstheme="minorHAnsi"/>
          <w:lang w:val="en-GB"/>
        </w:rPr>
        <w:t xml:space="preserve">Promptly notifying the World Bank </w:t>
      </w:r>
      <w:r w:rsidR="004F651B">
        <w:rPr>
          <w:rFonts w:cstheme="minorHAnsi"/>
          <w:lang w:val="en-GB"/>
        </w:rPr>
        <w:t>within 2</w:t>
      </w:r>
      <w:r w:rsidR="00F316F4">
        <w:rPr>
          <w:rFonts w:cstheme="minorHAnsi"/>
          <w:lang w:val="en-GB"/>
        </w:rPr>
        <w:t xml:space="preserve">x24 hours </w:t>
      </w:r>
      <w:r w:rsidRPr="002746B5">
        <w:rPr>
          <w:rFonts w:cstheme="minorHAnsi"/>
          <w:lang w:val="en-GB"/>
        </w:rPr>
        <w:t>of any incident or accident related to the Project which has, or is likely to have, a significant adverse effect on the environment, the affected communities, the public or workers.</w:t>
      </w:r>
    </w:p>
    <w:p w14:paraId="0BD26A8F" w14:textId="6A5F6532" w:rsidR="00F316F4" w:rsidRPr="004F651B" w:rsidRDefault="0099645E" w:rsidP="00143EC8">
      <w:pPr>
        <w:pStyle w:val="ListParagraph"/>
        <w:numPr>
          <w:ilvl w:val="0"/>
          <w:numId w:val="102"/>
        </w:numPr>
        <w:autoSpaceDE/>
        <w:autoSpaceDN/>
        <w:adjustRightInd/>
        <w:spacing w:before="120" w:after="120"/>
        <w:ind w:left="270" w:right="29"/>
        <w:jc w:val="both"/>
        <w:rPr>
          <w:rFonts w:asciiTheme="minorHAnsi" w:hAnsiTheme="minorHAnsi" w:cstheme="minorHAnsi"/>
          <w:lang w:val="en-GB"/>
        </w:rPr>
      </w:pPr>
      <w:r w:rsidRPr="004F651B">
        <w:rPr>
          <w:rFonts w:cstheme="minorHAnsi"/>
          <w:lang w:val="en-GB"/>
        </w:rPr>
        <w:t xml:space="preserve">Providing sufficient detail regarding the incident or accident, indicating immediate measures taken or that are planned to be taken to address it, and any information provided by any contractor and supervising entity, as appropriate. </w:t>
      </w:r>
    </w:p>
    <w:p w14:paraId="2D18D010" w14:textId="77777777" w:rsidR="0099645E" w:rsidRPr="002746B5" w:rsidRDefault="0099645E" w:rsidP="00143EC8">
      <w:pPr>
        <w:pStyle w:val="ListParagraph"/>
        <w:numPr>
          <w:ilvl w:val="0"/>
          <w:numId w:val="102"/>
        </w:numPr>
        <w:autoSpaceDE/>
        <w:autoSpaceDN/>
        <w:adjustRightInd/>
        <w:spacing w:before="120" w:after="120"/>
        <w:ind w:left="270" w:right="29"/>
        <w:jc w:val="both"/>
        <w:rPr>
          <w:rFonts w:cstheme="minorHAnsi"/>
          <w:lang w:val="en-GB"/>
        </w:rPr>
      </w:pPr>
      <w:r w:rsidRPr="002746B5">
        <w:rPr>
          <w:rFonts w:cstheme="minorHAnsi"/>
          <w:lang w:val="en-GB"/>
        </w:rPr>
        <w:t>Preparing a report on the incident or accident and propose any measures to prevent its recurrence.</w:t>
      </w:r>
    </w:p>
    <w:p w14:paraId="2BF2CEE7" w14:textId="39E78CB1" w:rsidR="0099645E" w:rsidRPr="004F651B" w:rsidRDefault="00462998" w:rsidP="00B45F76">
      <w:pPr>
        <w:spacing w:before="120" w:after="120" w:line="240" w:lineRule="auto"/>
        <w:ind w:left="-90" w:right="29"/>
        <w:jc w:val="both"/>
        <w:rPr>
          <w:rFonts w:cstheme="minorHAnsi"/>
          <w:sz w:val="24"/>
          <w:szCs w:val="24"/>
        </w:rPr>
      </w:pPr>
      <w:r>
        <w:rPr>
          <w:rFonts w:cstheme="minorHAnsi"/>
          <w:sz w:val="24"/>
          <w:szCs w:val="24"/>
        </w:rPr>
        <w:lastRenderedPageBreak/>
        <w:t>DMA consolidate</w:t>
      </w:r>
      <w:r w:rsidR="00F221FF">
        <w:rPr>
          <w:rFonts w:cstheme="minorHAnsi"/>
          <w:sz w:val="24"/>
          <w:szCs w:val="24"/>
        </w:rPr>
        <w:t>s</w:t>
      </w:r>
      <w:r>
        <w:rPr>
          <w:rFonts w:cstheme="minorHAnsi"/>
          <w:sz w:val="24"/>
          <w:szCs w:val="24"/>
        </w:rPr>
        <w:t xml:space="preserve"> the q</w:t>
      </w:r>
      <w:r w:rsidRPr="004F651B">
        <w:rPr>
          <w:rFonts w:cstheme="minorHAnsi"/>
          <w:sz w:val="24"/>
          <w:szCs w:val="24"/>
        </w:rPr>
        <w:t>uarterly</w:t>
      </w:r>
      <w:r w:rsidR="0099645E" w:rsidRPr="004F651B">
        <w:rPr>
          <w:rFonts w:cstheme="minorHAnsi"/>
          <w:sz w:val="24"/>
          <w:szCs w:val="24"/>
        </w:rPr>
        <w:t xml:space="preserve"> summaries of incidents </w:t>
      </w:r>
      <w:r w:rsidR="00F221FF">
        <w:rPr>
          <w:rFonts w:cstheme="minorHAnsi"/>
          <w:sz w:val="24"/>
          <w:szCs w:val="24"/>
        </w:rPr>
        <w:t xml:space="preserve">and </w:t>
      </w:r>
      <w:r w:rsidR="0099645E" w:rsidRPr="004F651B">
        <w:rPr>
          <w:rFonts w:cstheme="minorHAnsi"/>
          <w:sz w:val="24"/>
          <w:szCs w:val="24"/>
        </w:rPr>
        <w:t xml:space="preserve">also be collated to provide a mechanism for assessing both the number and the nature of complaints and requests for information, along with the Project’s ability to address those in a timely and effective manner. </w:t>
      </w:r>
    </w:p>
    <w:p w14:paraId="7CA0BF16" w14:textId="4ECE78BD" w:rsidR="0099645E" w:rsidRDefault="00F316F4" w:rsidP="00B45F76">
      <w:pPr>
        <w:ind w:left="-90" w:right="30"/>
        <w:jc w:val="both"/>
        <w:rPr>
          <w:rFonts w:cstheme="minorHAnsi"/>
          <w:sz w:val="24"/>
          <w:szCs w:val="24"/>
        </w:rPr>
      </w:pPr>
      <w:r w:rsidRPr="002746B5">
        <w:rPr>
          <w:rFonts w:cstheme="minorHAnsi"/>
          <w:b/>
          <w:bCs/>
          <w:sz w:val="24"/>
          <w:szCs w:val="24"/>
        </w:rPr>
        <w:t>SEA/SH and VAC allegations and incidents:</w:t>
      </w:r>
      <w:r w:rsidR="0099645E" w:rsidRPr="001B3941">
        <w:rPr>
          <w:rFonts w:cstheme="minorHAnsi"/>
          <w:sz w:val="24"/>
          <w:szCs w:val="24"/>
        </w:rPr>
        <w:t xml:space="preserve"> incidents will be managed separately and follow the project’s </w:t>
      </w:r>
      <w:r>
        <w:rPr>
          <w:rFonts w:cstheme="minorHAnsi"/>
          <w:sz w:val="24"/>
          <w:szCs w:val="24"/>
        </w:rPr>
        <w:t>SEA/SH and VAC</w:t>
      </w:r>
      <w:r w:rsidR="0099645E" w:rsidRPr="001B3941">
        <w:rPr>
          <w:rFonts w:cstheme="minorHAnsi"/>
          <w:sz w:val="24"/>
          <w:szCs w:val="24"/>
        </w:rPr>
        <w:t xml:space="preserve"> response protocol which have mechanisms for ensuring confidential document</w:t>
      </w:r>
      <w:r w:rsidR="00143EC8">
        <w:rPr>
          <w:rFonts w:cstheme="minorHAnsi"/>
          <w:sz w:val="24"/>
          <w:szCs w:val="24"/>
        </w:rPr>
        <w:t>ation</w:t>
      </w:r>
      <w:r w:rsidR="0099645E" w:rsidRPr="001B3941">
        <w:rPr>
          <w:rFonts w:cstheme="minorHAnsi"/>
          <w:sz w:val="24"/>
          <w:szCs w:val="24"/>
        </w:rPr>
        <w:t xml:space="preserve"> and reporting</w:t>
      </w:r>
      <w:r w:rsidR="00143EC8">
        <w:rPr>
          <w:rFonts w:cstheme="minorHAnsi"/>
          <w:sz w:val="24"/>
          <w:szCs w:val="24"/>
        </w:rPr>
        <w:t>, based on a survivor-centered approach</w:t>
      </w:r>
      <w:r w:rsidR="0099645E" w:rsidRPr="001B3941">
        <w:rPr>
          <w:rFonts w:cstheme="minorHAnsi"/>
          <w:sz w:val="24"/>
          <w:szCs w:val="24"/>
        </w:rPr>
        <w:t xml:space="preserve">. Only those who have a role in the response to an allegation will receive case-level information, and then only for a clearly stated purpose and with the survivor’s consent. All information related to the case will be kept confidential and identities protected. </w:t>
      </w:r>
      <w:r>
        <w:rPr>
          <w:rFonts w:cstheme="minorHAnsi"/>
          <w:sz w:val="24"/>
          <w:szCs w:val="24"/>
        </w:rPr>
        <w:t>A focal point for SEA/SH and VAC in</w:t>
      </w:r>
      <w:r w:rsidR="000D3B4A">
        <w:rPr>
          <w:rFonts w:cstheme="minorHAnsi"/>
          <w:sz w:val="24"/>
          <w:szCs w:val="24"/>
        </w:rPr>
        <w:t xml:space="preserve"> NCDDs </w:t>
      </w:r>
      <w:r>
        <w:rPr>
          <w:rFonts w:cstheme="minorHAnsi"/>
          <w:sz w:val="24"/>
          <w:szCs w:val="24"/>
        </w:rPr>
        <w:t>will be appointed</w:t>
      </w:r>
      <w:r w:rsidR="000D3B4A">
        <w:rPr>
          <w:rFonts w:cstheme="minorHAnsi"/>
          <w:sz w:val="24"/>
          <w:szCs w:val="24"/>
        </w:rPr>
        <w:t xml:space="preserve">. </w:t>
      </w:r>
      <w:r w:rsidR="00005014">
        <w:rPr>
          <w:rFonts w:cstheme="minorHAnsi"/>
          <w:sz w:val="24"/>
          <w:szCs w:val="24"/>
        </w:rPr>
        <w:t>Additional information is detailed in Annex</w:t>
      </w:r>
      <w:r>
        <w:rPr>
          <w:rFonts w:cstheme="minorHAnsi"/>
          <w:sz w:val="24"/>
          <w:szCs w:val="24"/>
        </w:rPr>
        <w:t xml:space="preserve"> </w:t>
      </w:r>
      <w:r w:rsidR="00143EC8">
        <w:rPr>
          <w:rFonts w:cstheme="minorHAnsi"/>
          <w:sz w:val="24"/>
          <w:szCs w:val="24"/>
        </w:rPr>
        <w:t>3</w:t>
      </w:r>
      <w:r w:rsidR="00A33E52">
        <w:rPr>
          <w:rFonts w:cstheme="minorHAnsi"/>
          <w:sz w:val="24"/>
          <w:szCs w:val="24"/>
        </w:rPr>
        <w:t xml:space="preserve">.  </w:t>
      </w:r>
    </w:p>
    <w:p w14:paraId="339392C9" w14:textId="3FBF789F" w:rsidR="000D3B4A" w:rsidRDefault="000D3B4A">
      <w:pPr>
        <w:rPr>
          <w:rFonts w:cstheme="minorHAnsi"/>
          <w:sz w:val="24"/>
          <w:szCs w:val="24"/>
        </w:rPr>
      </w:pPr>
      <w:r>
        <w:rPr>
          <w:rFonts w:cstheme="minorHAnsi"/>
          <w:sz w:val="24"/>
          <w:szCs w:val="24"/>
        </w:rPr>
        <w:br w:type="page"/>
      </w:r>
    </w:p>
    <w:p w14:paraId="11AE855A" w14:textId="3E277FC3" w:rsidR="000D3B4A" w:rsidRDefault="000D3B4A" w:rsidP="000D3B4A">
      <w:pPr>
        <w:kinsoku w:val="0"/>
        <w:overflowPunct w:val="0"/>
        <w:autoSpaceDE w:val="0"/>
        <w:autoSpaceDN w:val="0"/>
        <w:adjustRightInd w:val="0"/>
        <w:spacing w:before="4" w:after="0" w:line="240" w:lineRule="auto"/>
        <w:ind w:left="239" w:right="30"/>
        <w:jc w:val="both"/>
        <w:outlineLvl w:val="0"/>
        <w:rPr>
          <w:rFonts w:ascii="Calibri" w:hAnsi="Calibri" w:cs="Calibri"/>
          <w:b/>
          <w:bCs/>
          <w:sz w:val="28"/>
          <w:szCs w:val="28"/>
        </w:rPr>
      </w:pPr>
      <w:r>
        <w:rPr>
          <w:rFonts w:ascii="Calibri" w:hAnsi="Calibri" w:cs="Calibri"/>
          <w:b/>
          <w:bCs/>
          <w:sz w:val="28"/>
          <w:szCs w:val="28"/>
        </w:rPr>
        <w:lastRenderedPageBreak/>
        <w:t>4</w:t>
      </w:r>
      <w:r w:rsidRPr="00B4670F">
        <w:rPr>
          <w:rFonts w:ascii="Calibri" w:hAnsi="Calibri" w:cs="Calibri"/>
          <w:b/>
          <w:bCs/>
          <w:sz w:val="28"/>
          <w:szCs w:val="28"/>
        </w:rPr>
        <w:t>.</w:t>
      </w:r>
      <w:r w:rsidRPr="00B4670F">
        <w:rPr>
          <w:rFonts w:ascii="Calibri" w:hAnsi="Calibri" w:cs="Calibri"/>
          <w:b/>
          <w:bCs/>
          <w:spacing w:val="-2"/>
          <w:sz w:val="28"/>
          <w:szCs w:val="28"/>
        </w:rPr>
        <w:t xml:space="preserve"> </w:t>
      </w:r>
      <w:r>
        <w:rPr>
          <w:rFonts w:ascii="Calibri" w:hAnsi="Calibri" w:cs="Calibri"/>
          <w:b/>
          <w:bCs/>
          <w:sz w:val="28"/>
          <w:szCs w:val="28"/>
        </w:rPr>
        <w:t>INSTITUTIONAL ARRANGM</w:t>
      </w:r>
      <w:r w:rsidR="007E1F36">
        <w:rPr>
          <w:rFonts w:ascii="Calibri" w:hAnsi="Calibri" w:cs="Calibri"/>
          <w:b/>
          <w:bCs/>
          <w:sz w:val="28"/>
          <w:szCs w:val="28"/>
        </w:rPr>
        <w:t>ENTS</w:t>
      </w:r>
    </w:p>
    <w:p w14:paraId="6DCB4DB5" w14:textId="77777777" w:rsidR="007F7349" w:rsidRPr="008727B4" w:rsidRDefault="002B00D6" w:rsidP="007F7349">
      <w:pPr>
        <w:kinsoku w:val="0"/>
        <w:overflowPunct w:val="0"/>
        <w:autoSpaceDE w:val="0"/>
        <w:autoSpaceDN w:val="0"/>
        <w:adjustRightInd w:val="0"/>
        <w:spacing w:before="120" w:after="120" w:line="240" w:lineRule="auto"/>
        <w:ind w:left="245" w:right="29"/>
        <w:jc w:val="both"/>
        <w:rPr>
          <w:rFonts w:ascii="Calibri" w:hAnsi="Calibri" w:cs="Calibri"/>
          <w:sz w:val="24"/>
          <w:szCs w:val="24"/>
        </w:rPr>
      </w:pPr>
      <w:r w:rsidRPr="008727B4">
        <w:rPr>
          <w:rFonts w:ascii="Calibri" w:hAnsi="Calibri" w:cs="Calibri"/>
          <w:sz w:val="24"/>
          <w:szCs w:val="24"/>
        </w:rPr>
        <w:t>The implementing agency for CNP-II will be the NCDDS in the MOI, which is one of the two implementing agencies for the CNP-I (the other being the MOH). NCDDS has the capacity to provide national-level management and leadership as well as to support sub-national implementation.</w:t>
      </w:r>
      <w:r w:rsidR="007F7349" w:rsidRPr="008727B4">
        <w:rPr>
          <w:rFonts w:ascii="Calibri" w:hAnsi="Calibri" w:cs="Calibri"/>
          <w:sz w:val="24"/>
          <w:szCs w:val="24"/>
        </w:rPr>
        <w:t xml:space="preserve"> NCDDS has a strong track record of harnessing existing systems which emphasize the role of decentralization, to coordinate with administrative districts, commune councils, and health centers at the selected locations.</w:t>
      </w:r>
    </w:p>
    <w:p w14:paraId="0B3455B7" w14:textId="5D5272A5" w:rsidR="002B00D6" w:rsidRDefault="002B00D6">
      <w:pPr>
        <w:kinsoku w:val="0"/>
        <w:overflowPunct w:val="0"/>
        <w:autoSpaceDE w:val="0"/>
        <w:autoSpaceDN w:val="0"/>
        <w:adjustRightInd w:val="0"/>
        <w:spacing w:before="120" w:after="120" w:line="240" w:lineRule="auto"/>
        <w:ind w:left="245" w:right="29"/>
        <w:jc w:val="both"/>
        <w:rPr>
          <w:rFonts w:ascii="Calibri" w:hAnsi="Calibri" w:cs="Calibri"/>
          <w:sz w:val="24"/>
          <w:szCs w:val="24"/>
        </w:rPr>
      </w:pPr>
      <w:r w:rsidRPr="008727B4">
        <w:rPr>
          <w:rFonts w:ascii="Calibri" w:hAnsi="Calibri" w:cs="Calibri"/>
          <w:sz w:val="24"/>
          <w:szCs w:val="24"/>
        </w:rPr>
        <w:t>NCDDS will coordinate with MOH on the overall CNP-II implementation, including implementation of ESMP requirements.</w:t>
      </w:r>
    </w:p>
    <w:p w14:paraId="3F0510AA" w14:textId="6AA073F2" w:rsidR="0008264A" w:rsidRPr="008727B4" w:rsidRDefault="0008264A">
      <w:pPr>
        <w:kinsoku w:val="0"/>
        <w:overflowPunct w:val="0"/>
        <w:autoSpaceDE w:val="0"/>
        <w:autoSpaceDN w:val="0"/>
        <w:adjustRightInd w:val="0"/>
        <w:spacing w:before="120" w:after="120" w:line="240" w:lineRule="auto"/>
        <w:ind w:left="245" w:right="29"/>
        <w:jc w:val="both"/>
        <w:rPr>
          <w:rFonts w:ascii="Calibri" w:hAnsi="Calibri" w:cs="Calibri"/>
          <w:sz w:val="24"/>
          <w:szCs w:val="24"/>
        </w:rPr>
      </w:pPr>
      <w:r>
        <w:rPr>
          <w:noProof/>
          <w:lang w:bidi="km-KH"/>
        </w:rPr>
        <w:drawing>
          <wp:inline distT="0" distB="0" distL="0" distR="0" wp14:anchorId="288D0593" wp14:editId="3AEDF0C7">
            <wp:extent cx="5854700" cy="40625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652" t="15241" r="9222" b="39119"/>
                    <a:stretch/>
                  </pic:blipFill>
                  <pic:spPr bwMode="auto">
                    <a:xfrm>
                      <a:off x="0" y="0"/>
                      <a:ext cx="5854700" cy="4062586"/>
                    </a:xfrm>
                    <a:prstGeom prst="rect">
                      <a:avLst/>
                    </a:prstGeom>
                    <a:noFill/>
                    <a:ln>
                      <a:noFill/>
                    </a:ln>
                    <a:extLst>
                      <a:ext uri="{53640926-AAD7-44D8-BBD7-CCE9431645EC}">
                        <a14:shadowObscured xmlns:a14="http://schemas.microsoft.com/office/drawing/2010/main"/>
                      </a:ext>
                    </a:extLst>
                  </pic:spPr>
                </pic:pic>
              </a:graphicData>
            </a:graphic>
          </wp:inline>
        </w:drawing>
      </w:r>
    </w:p>
    <w:p w14:paraId="3A71DFF7" w14:textId="565063B9" w:rsidR="00573F43" w:rsidRPr="008727B4" w:rsidRDefault="00573F43" w:rsidP="00573F43">
      <w:pPr>
        <w:kinsoku w:val="0"/>
        <w:overflowPunct w:val="0"/>
        <w:autoSpaceDE w:val="0"/>
        <w:autoSpaceDN w:val="0"/>
        <w:adjustRightInd w:val="0"/>
        <w:spacing w:before="120" w:after="120" w:line="240" w:lineRule="auto"/>
        <w:ind w:left="245" w:right="29"/>
        <w:jc w:val="both"/>
        <w:rPr>
          <w:rFonts w:ascii="Calibri" w:hAnsi="Calibri" w:cs="Calibri"/>
          <w:sz w:val="24"/>
          <w:szCs w:val="24"/>
        </w:rPr>
      </w:pPr>
      <w:r w:rsidRPr="008727B4">
        <w:rPr>
          <w:rFonts w:ascii="Calibri" w:hAnsi="Calibri" w:cs="Calibri"/>
          <w:sz w:val="24"/>
          <w:szCs w:val="24"/>
        </w:rPr>
        <w:t>Specific responsibilities by NCDDs with regards to environmental and social management under CNP-II includes:</w:t>
      </w:r>
    </w:p>
    <w:p w14:paraId="0BE3B4C8" w14:textId="0A16ED2D" w:rsidR="009A49AC" w:rsidRPr="008727B4" w:rsidRDefault="00573F43" w:rsidP="00573F43">
      <w:pPr>
        <w:pStyle w:val="ListParagraph"/>
        <w:numPr>
          <w:ilvl w:val="0"/>
          <w:numId w:val="104"/>
        </w:numPr>
        <w:kinsoku w:val="0"/>
        <w:overflowPunct w:val="0"/>
        <w:spacing w:before="120" w:after="120"/>
        <w:ind w:right="29"/>
        <w:jc w:val="both"/>
      </w:pPr>
      <w:r w:rsidRPr="008727B4">
        <w:t xml:space="preserve">assign a focal point and/or team for the overall implementation of environmental and social </w:t>
      </w:r>
      <w:r w:rsidR="009A49AC" w:rsidRPr="008727B4">
        <w:t>requirements.</w:t>
      </w:r>
    </w:p>
    <w:p w14:paraId="650EA4B8" w14:textId="52F930D5" w:rsidR="00573F43" w:rsidRPr="008727B4" w:rsidRDefault="23BCEBE0" w:rsidP="00573F43">
      <w:pPr>
        <w:pStyle w:val="ListParagraph"/>
        <w:numPr>
          <w:ilvl w:val="0"/>
          <w:numId w:val="104"/>
        </w:numPr>
        <w:kinsoku w:val="0"/>
        <w:overflowPunct w:val="0"/>
        <w:spacing w:before="120" w:after="120"/>
        <w:ind w:right="29"/>
        <w:jc w:val="both"/>
      </w:pPr>
      <w:r w:rsidRPr="008727B4">
        <w:t xml:space="preserve">perform requisite </w:t>
      </w:r>
      <w:r w:rsidR="60DD1F6C" w:rsidRPr="008727B4">
        <w:t xml:space="preserve">capacity building to project implementing entities, including frontline health workers and community representatives, such as on relevant aspects related to labor management, prevention and management of COVID-19 and SEA/SH and VAC, </w:t>
      </w:r>
      <w:r w:rsidR="77A48759" w:rsidRPr="008727B4">
        <w:t>e-</w:t>
      </w:r>
      <w:r w:rsidR="60DD1F6C" w:rsidRPr="008727B4">
        <w:t>waste management, etc.</w:t>
      </w:r>
    </w:p>
    <w:p w14:paraId="7ED7228D" w14:textId="7749EE21" w:rsidR="009A49AC" w:rsidRPr="008727B4" w:rsidRDefault="0F8938BB" w:rsidP="00573F43">
      <w:pPr>
        <w:pStyle w:val="ListParagraph"/>
        <w:numPr>
          <w:ilvl w:val="0"/>
          <w:numId w:val="104"/>
        </w:numPr>
        <w:kinsoku w:val="0"/>
        <w:overflowPunct w:val="0"/>
        <w:spacing w:before="120" w:after="120"/>
        <w:ind w:right="29"/>
        <w:jc w:val="both"/>
      </w:pPr>
      <w:r w:rsidRPr="008727B4">
        <w:t>manage the project’s FGRM channels and respond to any inquiries and complaints associated with the project, including dispatch such inquiries and complaints to relevant stakeholders and/or agencies.</w:t>
      </w:r>
    </w:p>
    <w:p w14:paraId="0928A4E0" w14:textId="1B22E354" w:rsidR="00761A33" w:rsidRPr="008727B4" w:rsidRDefault="266D03B8" w:rsidP="00573F43">
      <w:pPr>
        <w:pStyle w:val="ListParagraph"/>
        <w:numPr>
          <w:ilvl w:val="0"/>
          <w:numId w:val="104"/>
        </w:numPr>
        <w:kinsoku w:val="0"/>
        <w:overflowPunct w:val="0"/>
        <w:spacing w:before="120" w:after="120"/>
        <w:ind w:right="29"/>
        <w:jc w:val="both"/>
      </w:pPr>
      <w:r w:rsidRPr="008727B4">
        <w:t xml:space="preserve">lead and facilitate relevant stakeholder engagement activities </w:t>
      </w:r>
      <w:r w:rsidR="1ED71CF7" w:rsidRPr="008727B4">
        <w:t>as guided in the project’s SEP</w:t>
      </w:r>
    </w:p>
    <w:p w14:paraId="2477C411" w14:textId="4E2BB341" w:rsidR="009C4B43" w:rsidRPr="008727B4" w:rsidRDefault="1ED71CF7" w:rsidP="00573F43">
      <w:pPr>
        <w:pStyle w:val="ListParagraph"/>
        <w:numPr>
          <w:ilvl w:val="0"/>
          <w:numId w:val="104"/>
        </w:numPr>
        <w:kinsoku w:val="0"/>
        <w:overflowPunct w:val="0"/>
        <w:spacing w:before="120" w:after="120"/>
        <w:ind w:right="29"/>
        <w:jc w:val="both"/>
      </w:pPr>
      <w:r w:rsidRPr="008727B4">
        <w:lastRenderedPageBreak/>
        <w:t>provide regular reports on the</w:t>
      </w:r>
      <w:r w:rsidR="0E6DFDAA" w:rsidRPr="008727B4">
        <w:t xml:space="preserve"> environmental and social actions, including any emerging issues and risks</w:t>
      </w:r>
    </w:p>
    <w:p w14:paraId="7D889994" w14:textId="477BAF8A" w:rsidR="00333352" w:rsidRPr="008727B4" w:rsidRDefault="567D1E22" w:rsidP="002746B5">
      <w:pPr>
        <w:pStyle w:val="ListParagraph"/>
        <w:numPr>
          <w:ilvl w:val="0"/>
          <w:numId w:val="104"/>
        </w:numPr>
        <w:kinsoku w:val="0"/>
        <w:overflowPunct w:val="0"/>
        <w:spacing w:before="120" w:after="120"/>
        <w:ind w:right="29"/>
        <w:jc w:val="both"/>
      </w:pPr>
      <w:r w:rsidRPr="008727B4">
        <w:t>disclose relevant information about project activities, including FGRM records.</w:t>
      </w:r>
    </w:p>
    <w:p w14:paraId="6C678BE3" w14:textId="0F7A61E3" w:rsidR="00A90EB6" w:rsidRPr="00A90EB6" w:rsidRDefault="0E6DFDAA" w:rsidP="002746B5">
      <w:pPr>
        <w:kinsoku w:val="0"/>
        <w:overflowPunct w:val="0"/>
        <w:autoSpaceDE w:val="0"/>
        <w:autoSpaceDN w:val="0"/>
        <w:adjustRightInd w:val="0"/>
        <w:spacing w:before="120" w:after="120" w:line="240" w:lineRule="auto"/>
        <w:ind w:left="187" w:right="29"/>
        <w:jc w:val="both"/>
        <w:rPr>
          <w:rFonts w:ascii="Calibri" w:hAnsi="Calibri" w:cs="Calibri"/>
          <w:sz w:val="24"/>
          <w:szCs w:val="24"/>
        </w:rPr>
      </w:pPr>
      <w:r w:rsidRPr="002746B5">
        <w:rPr>
          <w:rFonts w:ascii="Calibri" w:hAnsi="Calibri" w:cs="Calibri"/>
          <w:sz w:val="24"/>
          <w:szCs w:val="24"/>
        </w:rPr>
        <w:t>NCD</w:t>
      </w:r>
      <w:r w:rsidR="17D599AC" w:rsidRPr="002746B5">
        <w:rPr>
          <w:rFonts w:ascii="Calibri" w:hAnsi="Calibri" w:cs="Calibri"/>
          <w:sz w:val="24"/>
          <w:szCs w:val="24"/>
        </w:rPr>
        <w:t xml:space="preserve">Ds is expected to encourage community beneficiaries to report any feedback and grievances associated with the </w:t>
      </w:r>
      <w:r w:rsidR="69DABED2" w:rsidRPr="7B4010DD">
        <w:rPr>
          <w:rFonts w:ascii="Calibri" w:hAnsi="Calibri" w:cs="Calibri"/>
          <w:sz w:val="24"/>
          <w:szCs w:val="24"/>
        </w:rPr>
        <w:t xml:space="preserve">CNP l and CNP ll </w:t>
      </w:r>
      <w:r w:rsidR="17D599AC" w:rsidRPr="002746B5">
        <w:rPr>
          <w:rFonts w:ascii="Calibri" w:hAnsi="Calibri" w:cs="Calibri"/>
          <w:sz w:val="24"/>
          <w:szCs w:val="24"/>
        </w:rPr>
        <w:t xml:space="preserve">activities. </w:t>
      </w:r>
      <w:r w:rsidR="1EB931D4" w:rsidRPr="00A90EB6">
        <w:rPr>
          <w:rFonts w:ascii="Calibri" w:hAnsi="Calibri" w:cs="Calibri"/>
          <w:sz w:val="24"/>
          <w:szCs w:val="24"/>
        </w:rPr>
        <w:t>The</w:t>
      </w:r>
      <w:r w:rsidR="1EB931D4" w:rsidRPr="00A90EB6">
        <w:rPr>
          <w:rFonts w:ascii="Calibri" w:hAnsi="Calibri" w:cs="Calibri"/>
          <w:spacing w:val="6"/>
          <w:sz w:val="24"/>
          <w:szCs w:val="24"/>
        </w:rPr>
        <w:t xml:space="preserve"> </w:t>
      </w:r>
      <w:r w:rsidR="1EB931D4" w:rsidRPr="00A90EB6">
        <w:rPr>
          <w:rFonts w:ascii="Calibri" w:hAnsi="Calibri" w:cs="Calibri"/>
          <w:sz w:val="24"/>
          <w:szCs w:val="24"/>
        </w:rPr>
        <w:t>report</w:t>
      </w:r>
      <w:r w:rsidR="1EB931D4" w:rsidRPr="00A90EB6">
        <w:rPr>
          <w:rFonts w:ascii="Calibri" w:hAnsi="Calibri" w:cs="Calibri"/>
          <w:spacing w:val="8"/>
          <w:sz w:val="24"/>
          <w:szCs w:val="24"/>
        </w:rPr>
        <w:t xml:space="preserve"> </w:t>
      </w:r>
      <w:r w:rsidR="7B4010DD" w:rsidRPr="7B4010DD">
        <w:rPr>
          <w:rFonts w:ascii="Calibri" w:hAnsi="Calibri" w:cs="Calibri"/>
          <w:sz w:val="24"/>
          <w:szCs w:val="24"/>
        </w:rPr>
        <w:t xml:space="preserve">on the performance of services </w:t>
      </w:r>
      <w:r w:rsidR="008727B4">
        <w:rPr>
          <w:rFonts w:ascii="Calibri" w:hAnsi="Calibri" w:cs="Calibri"/>
          <w:sz w:val="24"/>
          <w:szCs w:val="24"/>
        </w:rPr>
        <w:t>c</w:t>
      </w:r>
      <w:r w:rsidR="7B4010DD" w:rsidRPr="00A90EB6">
        <w:rPr>
          <w:rFonts w:ascii="Calibri" w:hAnsi="Calibri" w:cs="Calibri"/>
          <w:sz w:val="24"/>
          <w:szCs w:val="24"/>
        </w:rPr>
        <w:t>an</w:t>
      </w:r>
      <w:r w:rsidR="7B4010DD" w:rsidRPr="00A90EB6">
        <w:rPr>
          <w:rFonts w:ascii="Calibri" w:hAnsi="Calibri" w:cs="Calibri"/>
          <w:spacing w:val="8"/>
          <w:sz w:val="24"/>
          <w:szCs w:val="24"/>
        </w:rPr>
        <w:t xml:space="preserve"> </w:t>
      </w:r>
      <w:r w:rsidR="7B4010DD" w:rsidRPr="00A90EB6">
        <w:rPr>
          <w:rFonts w:ascii="Calibri" w:hAnsi="Calibri" w:cs="Calibri"/>
          <w:sz w:val="24"/>
          <w:szCs w:val="24"/>
        </w:rPr>
        <w:t>be</w:t>
      </w:r>
      <w:r w:rsidR="7B4010DD" w:rsidRPr="00A90EB6">
        <w:rPr>
          <w:rFonts w:ascii="Calibri" w:hAnsi="Calibri" w:cs="Calibri"/>
          <w:spacing w:val="6"/>
          <w:sz w:val="24"/>
          <w:szCs w:val="24"/>
        </w:rPr>
        <w:t xml:space="preserve"> </w:t>
      </w:r>
      <w:r w:rsidR="7B4010DD" w:rsidRPr="00A90EB6">
        <w:rPr>
          <w:rFonts w:ascii="Calibri" w:hAnsi="Calibri" w:cs="Calibri"/>
          <w:sz w:val="24"/>
          <w:szCs w:val="24"/>
        </w:rPr>
        <w:t>made through</w:t>
      </w:r>
      <w:r w:rsidR="7B4010DD" w:rsidRPr="00A90EB6">
        <w:rPr>
          <w:rFonts w:ascii="Calibri" w:hAnsi="Calibri" w:cs="Calibri"/>
          <w:spacing w:val="-12"/>
          <w:sz w:val="24"/>
          <w:szCs w:val="24"/>
        </w:rPr>
        <w:t xml:space="preserve"> </w:t>
      </w:r>
      <w:r w:rsidR="7B4010DD" w:rsidRPr="00A90EB6">
        <w:rPr>
          <w:rFonts w:ascii="Calibri" w:hAnsi="Calibri" w:cs="Calibri"/>
          <w:sz w:val="24"/>
          <w:szCs w:val="24"/>
        </w:rPr>
        <w:t>verbal</w:t>
      </w:r>
      <w:r w:rsidR="7B4010DD" w:rsidRPr="00A90EB6">
        <w:rPr>
          <w:rFonts w:ascii="Calibri" w:hAnsi="Calibri" w:cs="Calibri"/>
          <w:spacing w:val="-11"/>
          <w:sz w:val="24"/>
          <w:szCs w:val="24"/>
        </w:rPr>
        <w:t xml:space="preserve"> </w:t>
      </w:r>
      <w:r w:rsidR="7B4010DD" w:rsidRPr="00A90EB6">
        <w:rPr>
          <w:rFonts w:ascii="Calibri" w:hAnsi="Calibri" w:cs="Calibri"/>
          <w:sz w:val="24"/>
          <w:szCs w:val="24"/>
        </w:rPr>
        <w:t>comments</w:t>
      </w:r>
      <w:r w:rsidR="7B4010DD" w:rsidRPr="00A90EB6">
        <w:rPr>
          <w:rFonts w:ascii="Calibri" w:hAnsi="Calibri" w:cs="Calibri"/>
          <w:spacing w:val="-12"/>
          <w:sz w:val="24"/>
          <w:szCs w:val="24"/>
        </w:rPr>
        <w:t xml:space="preserve"> </w:t>
      </w:r>
      <w:r w:rsidR="7B4010DD" w:rsidRPr="00A90EB6">
        <w:rPr>
          <w:rFonts w:ascii="Calibri" w:hAnsi="Calibri" w:cs="Calibri"/>
          <w:sz w:val="24"/>
          <w:szCs w:val="24"/>
        </w:rPr>
        <w:t>to</w:t>
      </w:r>
      <w:r w:rsidR="7B4010DD" w:rsidRPr="00A90EB6">
        <w:rPr>
          <w:rFonts w:ascii="Calibri" w:hAnsi="Calibri" w:cs="Calibri"/>
          <w:spacing w:val="-11"/>
          <w:sz w:val="24"/>
          <w:szCs w:val="24"/>
        </w:rPr>
        <w:t xml:space="preserve"> </w:t>
      </w:r>
      <w:r w:rsidR="00F221FF">
        <w:rPr>
          <w:rFonts w:ascii="Calibri" w:hAnsi="Calibri" w:cs="Calibri"/>
          <w:spacing w:val="-11"/>
          <w:sz w:val="24"/>
          <w:szCs w:val="24"/>
        </w:rPr>
        <w:t xml:space="preserve">C/S chief, C/S council, WC-FP, C/S staff, village team, </w:t>
      </w:r>
      <w:r w:rsidR="7B4010DD" w:rsidRPr="00A90EB6">
        <w:rPr>
          <w:rFonts w:ascii="Calibri" w:hAnsi="Calibri" w:cs="Calibri"/>
          <w:sz w:val="24"/>
          <w:szCs w:val="24"/>
        </w:rPr>
        <w:t>health</w:t>
      </w:r>
      <w:r w:rsidR="7B4010DD" w:rsidRPr="00A90EB6">
        <w:rPr>
          <w:rFonts w:ascii="Calibri" w:hAnsi="Calibri" w:cs="Calibri"/>
          <w:spacing w:val="-13"/>
          <w:sz w:val="24"/>
          <w:szCs w:val="24"/>
        </w:rPr>
        <w:t xml:space="preserve"> </w:t>
      </w:r>
      <w:r w:rsidR="7B4010DD" w:rsidRPr="00A90EB6">
        <w:rPr>
          <w:rFonts w:ascii="Calibri" w:hAnsi="Calibri" w:cs="Calibri"/>
          <w:sz w:val="24"/>
          <w:szCs w:val="24"/>
        </w:rPr>
        <w:t>facility</w:t>
      </w:r>
      <w:r w:rsidR="7B4010DD" w:rsidRPr="00A90EB6">
        <w:rPr>
          <w:rFonts w:ascii="Calibri" w:hAnsi="Calibri" w:cs="Calibri"/>
          <w:spacing w:val="-12"/>
          <w:sz w:val="24"/>
          <w:szCs w:val="24"/>
        </w:rPr>
        <w:t xml:space="preserve"> </w:t>
      </w:r>
      <w:r w:rsidR="7B4010DD" w:rsidRPr="00A90EB6">
        <w:rPr>
          <w:rFonts w:ascii="Calibri" w:hAnsi="Calibri" w:cs="Calibri"/>
          <w:sz w:val="24"/>
          <w:szCs w:val="24"/>
        </w:rPr>
        <w:t>staff,</w:t>
      </w:r>
      <w:r w:rsidR="7B4010DD" w:rsidRPr="00A90EB6">
        <w:rPr>
          <w:rFonts w:ascii="Calibri" w:hAnsi="Calibri" w:cs="Calibri"/>
          <w:spacing w:val="-11"/>
          <w:sz w:val="24"/>
          <w:szCs w:val="24"/>
        </w:rPr>
        <w:t xml:space="preserve"> </w:t>
      </w:r>
      <w:r w:rsidR="7B4010DD" w:rsidRPr="00A90EB6">
        <w:rPr>
          <w:rFonts w:ascii="Calibri" w:hAnsi="Calibri" w:cs="Calibri"/>
          <w:sz w:val="24"/>
          <w:szCs w:val="24"/>
        </w:rPr>
        <w:t>health</w:t>
      </w:r>
      <w:r w:rsidR="7B4010DD" w:rsidRPr="00A90EB6">
        <w:rPr>
          <w:rFonts w:ascii="Calibri" w:hAnsi="Calibri" w:cs="Calibri"/>
          <w:spacing w:val="-13"/>
          <w:sz w:val="24"/>
          <w:szCs w:val="24"/>
        </w:rPr>
        <w:t xml:space="preserve"> </w:t>
      </w:r>
      <w:r w:rsidR="7B4010DD" w:rsidRPr="00A90EB6">
        <w:rPr>
          <w:rFonts w:ascii="Calibri" w:hAnsi="Calibri" w:cs="Calibri"/>
          <w:sz w:val="24"/>
          <w:szCs w:val="24"/>
        </w:rPr>
        <w:t>facility</w:t>
      </w:r>
      <w:r w:rsidR="7B4010DD" w:rsidRPr="00A90EB6">
        <w:rPr>
          <w:rFonts w:ascii="Calibri" w:hAnsi="Calibri" w:cs="Calibri"/>
          <w:spacing w:val="-12"/>
          <w:sz w:val="24"/>
          <w:szCs w:val="24"/>
        </w:rPr>
        <w:t xml:space="preserve"> </w:t>
      </w:r>
      <w:r w:rsidR="7B4010DD" w:rsidRPr="00A90EB6">
        <w:rPr>
          <w:rFonts w:ascii="Calibri" w:hAnsi="Calibri" w:cs="Calibri"/>
          <w:sz w:val="24"/>
          <w:szCs w:val="24"/>
        </w:rPr>
        <w:t>comment</w:t>
      </w:r>
      <w:r w:rsidR="7B4010DD" w:rsidRPr="00A90EB6">
        <w:rPr>
          <w:rFonts w:ascii="Calibri" w:hAnsi="Calibri" w:cs="Calibri"/>
          <w:spacing w:val="-13"/>
          <w:sz w:val="24"/>
          <w:szCs w:val="24"/>
        </w:rPr>
        <w:t xml:space="preserve"> </w:t>
      </w:r>
      <w:r w:rsidR="7B4010DD" w:rsidRPr="00A90EB6">
        <w:rPr>
          <w:rFonts w:ascii="Calibri" w:hAnsi="Calibri" w:cs="Calibri"/>
          <w:sz w:val="24"/>
          <w:szCs w:val="24"/>
        </w:rPr>
        <w:t>box,</w:t>
      </w:r>
      <w:r w:rsidR="7B4010DD" w:rsidRPr="00A90EB6">
        <w:rPr>
          <w:rFonts w:ascii="Calibri" w:hAnsi="Calibri" w:cs="Calibri"/>
          <w:spacing w:val="-12"/>
          <w:sz w:val="24"/>
          <w:szCs w:val="24"/>
        </w:rPr>
        <w:t xml:space="preserve"> </w:t>
      </w:r>
      <w:r w:rsidR="7B4010DD" w:rsidRPr="00A90EB6">
        <w:rPr>
          <w:rFonts w:ascii="Calibri" w:hAnsi="Calibri" w:cs="Calibri"/>
          <w:sz w:val="24"/>
          <w:szCs w:val="24"/>
        </w:rPr>
        <w:t>through village</w:t>
      </w:r>
      <w:r w:rsidR="7B4010DD" w:rsidRPr="00A90EB6">
        <w:rPr>
          <w:rFonts w:ascii="Calibri" w:hAnsi="Calibri" w:cs="Calibri"/>
          <w:spacing w:val="16"/>
          <w:sz w:val="24"/>
          <w:szCs w:val="24"/>
        </w:rPr>
        <w:t xml:space="preserve"> </w:t>
      </w:r>
      <w:r w:rsidR="7B4010DD" w:rsidRPr="00A90EB6">
        <w:rPr>
          <w:rFonts w:ascii="Calibri" w:hAnsi="Calibri" w:cs="Calibri"/>
          <w:sz w:val="24"/>
          <w:szCs w:val="24"/>
        </w:rPr>
        <w:t>health</w:t>
      </w:r>
      <w:r w:rsidR="7B4010DD" w:rsidRPr="00A90EB6">
        <w:rPr>
          <w:rFonts w:ascii="Calibri" w:hAnsi="Calibri" w:cs="Calibri"/>
          <w:spacing w:val="14"/>
          <w:sz w:val="24"/>
          <w:szCs w:val="24"/>
        </w:rPr>
        <w:t xml:space="preserve"> </w:t>
      </w:r>
      <w:r w:rsidR="7B4010DD" w:rsidRPr="00A90EB6">
        <w:rPr>
          <w:rFonts w:ascii="Calibri" w:hAnsi="Calibri" w:cs="Calibri"/>
          <w:sz w:val="24"/>
          <w:szCs w:val="24"/>
        </w:rPr>
        <w:t>support</w:t>
      </w:r>
      <w:r w:rsidR="7B4010DD" w:rsidRPr="00A90EB6">
        <w:rPr>
          <w:rFonts w:ascii="Calibri" w:hAnsi="Calibri" w:cs="Calibri"/>
          <w:spacing w:val="14"/>
          <w:sz w:val="24"/>
          <w:szCs w:val="24"/>
        </w:rPr>
        <w:t xml:space="preserve"> </w:t>
      </w:r>
      <w:r w:rsidR="7B4010DD" w:rsidRPr="00A90EB6">
        <w:rPr>
          <w:rFonts w:ascii="Calibri" w:hAnsi="Calibri" w:cs="Calibri"/>
          <w:sz w:val="24"/>
          <w:szCs w:val="24"/>
        </w:rPr>
        <w:t>group</w:t>
      </w:r>
      <w:r w:rsidR="7B4010DD" w:rsidRPr="00A90EB6">
        <w:rPr>
          <w:rFonts w:ascii="Calibri" w:hAnsi="Calibri" w:cs="Calibri"/>
          <w:spacing w:val="14"/>
          <w:sz w:val="24"/>
          <w:szCs w:val="24"/>
        </w:rPr>
        <w:t xml:space="preserve"> </w:t>
      </w:r>
      <w:r w:rsidR="7B4010DD" w:rsidRPr="00A90EB6">
        <w:rPr>
          <w:rFonts w:ascii="Calibri" w:hAnsi="Calibri" w:cs="Calibri"/>
          <w:sz w:val="24"/>
          <w:szCs w:val="24"/>
        </w:rPr>
        <w:t>or</w:t>
      </w:r>
      <w:r w:rsidR="7B4010DD" w:rsidRPr="00A90EB6">
        <w:rPr>
          <w:rFonts w:ascii="Calibri" w:hAnsi="Calibri" w:cs="Calibri"/>
          <w:spacing w:val="14"/>
          <w:sz w:val="24"/>
          <w:szCs w:val="24"/>
        </w:rPr>
        <w:t xml:space="preserve"> </w:t>
      </w:r>
      <w:r w:rsidR="7B4010DD" w:rsidRPr="00A90EB6">
        <w:rPr>
          <w:rFonts w:ascii="Calibri" w:hAnsi="Calibri" w:cs="Calibri"/>
          <w:sz w:val="24"/>
          <w:szCs w:val="24"/>
        </w:rPr>
        <w:t>health</w:t>
      </w:r>
      <w:r w:rsidR="7B4010DD" w:rsidRPr="00A90EB6">
        <w:rPr>
          <w:rFonts w:ascii="Calibri" w:hAnsi="Calibri" w:cs="Calibri"/>
          <w:spacing w:val="14"/>
          <w:sz w:val="24"/>
          <w:szCs w:val="24"/>
        </w:rPr>
        <w:t xml:space="preserve"> </w:t>
      </w:r>
      <w:r w:rsidR="7B4010DD" w:rsidRPr="00A90EB6">
        <w:rPr>
          <w:rFonts w:ascii="Calibri" w:hAnsi="Calibri" w:cs="Calibri"/>
          <w:sz w:val="24"/>
          <w:szCs w:val="24"/>
        </w:rPr>
        <w:t>center</w:t>
      </w:r>
      <w:r w:rsidR="7B4010DD" w:rsidRPr="00A90EB6">
        <w:rPr>
          <w:rFonts w:ascii="Calibri" w:hAnsi="Calibri" w:cs="Calibri"/>
          <w:spacing w:val="14"/>
          <w:sz w:val="24"/>
          <w:szCs w:val="24"/>
        </w:rPr>
        <w:t xml:space="preserve"> </w:t>
      </w:r>
      <w:r w:rsidR="7B4010DD" w:rsidRPr="00A90EB6">
        <w:rPr>
          <w:rFonts w:ascii="Calibri" w:hAnsi="Calibri" w:cs="Calibri"/>
          <w:sz w:val="24"/>
          <w:szCs w:val="24"/>
        </w:rPr>
        <w:t>management</w:t>
      </w:r>
      <w:r w:rsidR="7B4010DD" w:rsidRPr="00A90EB6">
        <w:rPr>
          <w:rFonts w:ascii="Calibri" w:hAnsi="Calibri" w:cs="Calibri"/>
          <w:spacing w:val="17"/>
          <w:sz w:val="24"/>
          <w:szCs w:val="24"/>
        </w:rPr>
        <w:t xml:space="preserve"> </w:t>
      </w:r>
      <w:r w:rsidR="7B4010DD" w:rsidRPr="00A90EB6">
        <w:rPr>
          <w:rFonts w:ascii="Calibri" w:hAnsi="Calibri" w:cs="Calibri"/>
          <w:sz w:val="24"/>
          <w:szCs w:val="24"/>
        </w:rPr>
        <w:t>committee,</w:t>
      </w:r>
      <w:r w:rsidR="7B4010DD" w:rsidRPr="00A90EB6">
        <w:rPr>
          <w:rFonts w:ascii="Calibri" w:hAnsi="Calibri" w:cs="Calibri"/>
          <w:spacing w:val="16"/>
          <w:sz w:val="24"/>
          <w:szCs w:val="24"/>
        </w:rPr>
        <w:t xml:space="preserve"> </w:t>
      </w:r>
      <w:r w:rsidR="7B4010DD" w:rsidRPr="00A90EB6">
        <w:rPr>
          <w:rFonts w:ascii="Calibri" w:hAnsi="Calibri" w:cs="Calibri"/>
          <w:sz w:val="24"/>
          <w:szCs w:val="24"/>
        </w:rPr>
        <w:t>or</w:t>
      </w:r>
      <w:r w:rsidR="7B4010DD" w:rsidRPr="00A90EB6">
        <w:rPr>
          <w:rFonts w:ascii="Calibri" w:hAnsi="Calibri" w:cs="Calibri"/>
          <w:spacing w:val="14"/>
          <w:sz w:val="24"/>
          <w:szCs w:val="24"/>
        </w:rPr>
        <w:t xml:space="preserve"> </w:t>
      </w:r>
      <w:r w:rsidR="7B4010DD" w:rsidRPr="00A90EB6">
        <w:rPr>
          <w:rFonts w:ascii="Calibri" w:hAnsi="Calibri" w:cs="Calibri"/>
          <w:sz w:val="24"/>
          <w:szCs w:val="24"/>
        </w:rPr>
        <w:t>any consultation forums</w:t>
      </w:r>
      <w:r w:rsidR="7B4010DD" w:rsidRPr="00A90EB6">
        <w:rPr>
          <w:rFonts w:ascii="Calibri" w:hAnsi="Calibri" w:cs="Calibri"/>
          <w:spacing w:val="1"/>
          <w:sz w:val="24"/>
          <w:szCs w:val="24"/>
        </w:rPr>
        <w:t xml:space="preserve"> </w:t>
      </w:r>
      <w:r w:rsidR="7B4010DD" w:rsidRPr="00A90EB6">
        <w:rPr>
          <w:rFonts w:ascii="Calibri" w:hAnsi="Calibri" w:cs="Calibri"/>
          <w:sz w:val="24"/>
          <w:szCs w:val="24"/>
        </w:rPr>
        <w:t>where</w:t>
      </w:r>
      <w:r w:rsidR="7B4010DD" w:rsidRPr="00A90EB6">
        <w:rPr>
          <w:rFonts w:ascii="Calibri" w:hAnsi="Calibri" w:cs="Calibri"/>
          <w:spacing w:val="1"/>
          <w:sz w:val="24"/>
          <w:szCs w:val="24"/>
        </w:rPr>
        <w:t xml:space="preserve"> </w:t>
      </w:r>
      <w:r w:rsidR="7B4010DD" w:rsidRPr="00A90EB6">
        <w:rPr>
          <w:rFonts w:ascii="Calibri" w:hAnsi="Calibri" w:cs="Calibri"/>
          <w:sz w:val="24"/>
          <w:szCs w:val="24"/>
        </w:rPr>
        <w:t>there</w:t>
      </w:r>
      <w:r w:rsidR="7B4010DD" w:rsidRPr="00A90EB6">
        <w:rPr>
          <w:rFonts w:ascii="Calibri" w:hAnsi="Calibri" w:cs="Calibri"/>
          <w:spacing w:val="-2"/>
          <w:sz w:val="24"/>
          <w:szCs w:val="24"/>
        </w:rPr>
        <w:t xml:space="preserve"> </w:t>
      </w:r>
      <w:r w:rsidR="7B4010DD" w:rsidRPr="00A90EB6">
        <w:rPr>
          <w:rFonts w:ascii="Calibri" w:hAnsi="Calibri" w:cs="Calibri"/>
          <w:sz w:val="24"/>
          <w:szCs w:val="24"/>
        </w:rPr>
        <w:t>is</w:t>
      </w:r>
      <w:r w:rsidR="7B4010DD" w:rsidRPr="00A90EB6">
        <w:rPr>
          <w:rFonts w:ascii="Calibri" w:hAnsi="Calibri" w:cs="Calibri"/>
          <w:spacing w:val="-2"/>
          <w:sz w:val="24"/>
          <w:szCs w:val="24"/>
        </w:rPr>
        <w:t xml:space="preserve"> </w:t>
      </w:r>
      <w:r w:rsidR="7B4010DD" w:rsidRPr="00A90EB6">
        <w:rPr>
          <w:rFonts w:ascii="Calibri" w:hAnsi="Calibri" w:cs="Calibri"/>
          <w:sz w:val="24"/>
          <w:szCs w:val="24"/>
        </w:rPr>
        <w:t>participation</w:t>
      </w:r>
      <w:r w:rsidR="7B4010DD" w:rsidRPr="00A90EB6">
        <w:rPr>
          <w:rFonts w:ascii="Calibri" w:hAnsi="Calibri" w:cs="Calibri"/>
          <w:spacing w:val="-1"/>
          <w:sz w:val="24"/>
          <w:szCs w:val="24"/>
        </w:rPr>
        <w:t xml:space="preserve"> </w:t>
      </w:r>
      <w:r w:rsidR="7B4010DD" w:rsidRPr="00A90EB6">
        <w:rPr>
          <w:rFonts w:ascii="Calibri" w:hAnsi="Calibri" w:cs="Calibri"/>
          <w:sz w:val="24"/>
          <w:szCs w:val="24"/>
        </w:rPr>
        <w:t>from</w:t>
      </w:r>
      <w:r w:rsidR="7B4010DD" w:rsidRPr="00A90EB6">
        <w:rPr>
          <w:rFonts w:ascii="Calibri" w:hAnsi="Calibri" w:cs="Calibri"/>
          <w:spacing w:val="1"/>
          <w:sz w:val="24"/>
          <w:szCs w:val="24"/>
        </w:rPr>
        <w:t xml:space="preserve"> </w:t>
      </w:r>
      <w:r w:rsidR="7B4010DD" w:rsidRPr="00A90EB6">
        <w:rPr>
          <w:rFonts w:ascii="Calibri" w:hAnsi="Calibri" w:cs="Calibri"/>
          <w:sz w:val="24"/>
          <w:szCs w:val="24"/>
        </w:rPr>
        <w:t>health</w:t>
      </w:r>
      <w:r w:rsidR="7B4010DD" w:rsidRPr="00A90EB6">
        <w:rPr>
          <w:rFonts w:ascii="Calibri" w:hAnsi="Calibri" w:cs="Calibri"/>
          <w:spacing w:val="-1"/>
          <w:sz w:val="24"/>
          <w:szCs w:val="24"/>
        </w:rPr>
        <w:t xml:space="preserve"> </w:t>
      </w:r>
      <w:r w:rsidR="7B4010DD" w:rsidRPr="00A90EB6">
        <w:rPr>
          <w:rFonts w:ascii="Calibri" w:hAnsi="Calibri" w:cs="Calibri"/>
          <w:sz w:val="24"/>
          <w:szCs w:val="24"/>
        </w:rPr>
        <w:t xml:space="preserve">facility staff.  </w:t>
      </w:r>
      <w:r w:rsidR="7B4010DD" w:rsidRPr="00A90EB6">
        <w:rPr>
          <w:sz w:val="24"/>
          <w:szCs w:val="24"/>
        </w:rPr>
        <w:t xml:space="preserve"> </w:t>
      </w:r>
    </w:p>
    <w:p w14:paraId="7140D98F" w14:textId="7D2C557B" w:rsidR="00333352" w:rsidRPr="001B3941" w:rsidRDefault="003B65E2" w:rsidP="002746B5">
      <w:pPr>
        <w:spacing w:before="120" w:after="120" w:line="240" w:lineRule="auto"/>
        <w:ind w:left="180" w:right="30"/>
        <w:jc w:val="both"/>
        <w:rPr>
          <w:rFonts w:cstheme="minorHAnsi"/>
          <w:sz w:val="24"/>
          <w:szCs w:val="24"/>
          <w:lang w:val="en-GB"/>
        </w:rPr>
      </w:pPr>
      <w:bookmarkStart w:id="12" w:name="_bookmark22"/>
      <w:bookmarkEnd w:id="12"/>
      <w:r>
        <w:rPr>
          <w:rFonts w:cstheme="minorHAnsi"/>
          <w:sz w:val="24"/>
          <w:szCs w:val="24"/>
          <w:lang w:val="en-GB"/>
        </w:rPr>
        <w:t xml:space="preserve">Under CNP ll, </w:t>
      </w:r>
      <w:r w:rsidR="00E92CD7" w:rsidRPr="001B3941">
        <w:rPr>
          <w:rFonts w:cstheme="minorHAnsi"/>
          <w:sz w:val="24"/>
          <w:szCs w:val="24"/>
          <w:lang w:val="en-GB"/>
        </w:rPr>
        <w:t xml:space="preserve">the NCDDS will prepare and submit regular (six-monthly) monitoring reports on the environmental, social, health and safety (ESHS) performance of </w:t>
      </w:r>
      <w:r w:rsidR="00E92CD7">
        <w:rPr>
          <w:rFonts w:cstheme="minorHAnsi"/>
          <w:sz w:val="24"/>
          <w:szCs w:val="24"/>
          <w:lang w:val="en-GB"/>
        </w:rPr>
        <w:t>CNP-II</w:t>
      </w:r>
      <w:r>
        <w:rPr>
          <w:rFonts w:cstheme="minorHAnsi"/>
          <w:sz w:val="24"/>
          <w:szCs w:val="24"/>
          <w:lang w:val="en-GB"/>
        </w:rPr>
        <w:t>, w</w:t>
      </w:r>
      <w:r w:rsidRPr="001B3941">
        <w:rPr>
          <w:rFonts w:cstheme="minorHAnsi"/>
          <w:sz w:val="24"/>
          <w:szCs w:val="24"/>
          <w:lang w:val="en-GB"/>
        </w:rPr>
        <w:t>ith inputs from Implementing Agencies</w:t>
      </w:r>
      <w:r w:rsidR="00E92CD7" w:rsidRPr="001B3941">
        <w:rPr>
          <w:rFonts w:cstheme="minorHAnsi"/>
          <w:sz w:val="24"/>
          <w:szCs w:val="24"/>
          <w:lang w:val="en-GB"/>
        </w:rPr>
        <w:t>. These reports will include the status of the implementation of the ESMP, IPPF, SEP and LMP; information on any project related ESHS incidents and grievances; information on activities and services provided during the reporting period – including information on the facilitation of any grievances through the existing GRMs established for the project.</w:t>
      </w:r>
    </w:p>
    <w:p w14:paraId="4CCEC945" w14:textId="77777777" w:rsidR="00E92CD7" w:rsidRPr="001B3941" w:rsidRDefault="00E92CD7" w:rsidP="002746B5">
      <w:pPr>
        <w:spacing w:before="120" w:after="120" w:line="240" w:lineRule="auto"/>
        <w:ind w:left="180" w:right="30"/>
        <w:jc w:val="both"/>
        <w:rPr>
          <w:rFonts w:cstheme="minorHAnsi"/>
          <w:sz w:val="24"/>
          <w:szCs w:val="24"/>
        </w:rPr>
      </w:pPr>
      <w:r w:rsidRPr="001B3941">
        <w:rPr>
          <w:rFonts w:cstheme="minorHAnsi"/>
          <w:sz w:val="24"/>
          <w:szCs w:val="24"/>
        </w:rPr>
        <w:t>The information will also be communicated to stakeholders through the publication of an annual report on the Project’s interaction with the stakeholders.</w:t>
      </w:r>
    </w:p>
    <w:p w14:paraId="3E741365" w14:textId="77777777" w:rsidR="00E92CD7" w:rsidRPr="00B4670F" w:rsidRDefault="00E92CD7" w:rsidP="001B3941">
      <w:pPr>
        <w:kinsoku w:val="0"/>
        <w:overflowPunct w:val="0"/>
        <w:autoSpaceDE w:val="0"/>
        <w:autoSpaceDN w:val="0"/>
        <w:adjustRightInd w:val="0"/>
        <w:spacing w:after="0" w:line="264" w:lineRule="auto"/>
        <w:ind w:left="239" w:right="30"/>
        <w:jc w:val="both"/>
        <w:rPr>
          <w:rFonts w:ascii="Calibri" w:hAnsi="Calibri" w:cs="Calibri"/>
          <w:sz w:val="24"/>
          <w:szCs w:val="24"/>
        </w:rPr>
      </w:pPr>
    </w:p>
    <w:p w14:paraId="428BD9AE" w14:textId="77777777" w:rsidR="00B4670F" w:rsidRPr="00B4670F" w:rsidRDefault="00B4670F" w:rsidP="001B3941">
      <w:pPr>
        <w:kinsoku w:val="0"/>
        <w:overflowPunct w:val="0"/>
        <w:autoSpaceDE w:val="0"/>
        <w:autoSpaceDN w:val="0"/>
        <w:adjustRightInd w:val="0"/>
        <w:spacing w:after="0" w:line="240" w:lineRule="auto"/>
        <w:ind w:right="30"/>
        <w:jc w:val="both"/>
        <w:rPr>
          <w:rFonts w:ascii="Calibri" w:hAnsi="Calibri" w:cs="Calibri"/>
          <w:b/>
          <w:bCs/>
          <w:sz w:val="20"/>
          <w:szCs w:val="20"/>
        </w:rPr>
      </w:pPr>
      <w:bookmarkStart w:id="13" w:name="_bookmark23"/>
      <w:bookmarkEnd w:id="13"/>
    </w:p>
    <w:p w14:paraId="6B3D88D2" w14:textId="66006F7B" w:rsidR="00F221FF" w:rsidRDefault="00F221FF">
      <w:pPr>
        <w:rPr>
          <w:rFonts w:ascii="Calibri" w:hAnsi="Calibri" w:cs="Calibri"/>
          <w:sz w:val="19"/>
          <w:szCs w:val="19"/>
        </w:rPr>
      </w:pPr>
      <w:r>
        <w:rPr>
          <w:rFonts w:ascii="Calibri" w:hAnsi="Calibri" w:cs="Calibri"/>
          <w:sz w:val="19"/>
          <w:szCs w:val="19"/>
        </w:rPr>
        <w:br w:type="page"/>
      </w:r>
    </w:p>
    <w:p w14:paraId="51064883" w14:textId="0E4B68A0" w:rsidR="006607AD" w:rsidRDefault="008642CB" w:rsidP="00AF13BD">
      <w:pPr>
        <w:tabs>
          <w:tab w:val="left" w:pos="1260"/>
          <w:tab w:val="left" w:pos="1350"/>
        </w:tabs>
        <w:kinsoku w:val="0"/>
        <w:overflowPunct w:val="0"/>
        <w:autoSpaceDE w:val="0"/>
        <w:autoSpaceDN w:val="0"/>
        <w:adjustRightInd w:val="0"/>
        <w:spacing w:before="120" w:after="120" w:line="240" w:lineRule="auto"/>
        <w:ind w:right="29"/>
        <w:jc w:val="both"/>
        <w:rPr>
          <w:rFonts w:ascii="Calibri" w:hAnsi="Calibri" w:cs="Calibri"/>
          <w:b/>
          <w:bCs/>
          <w:spacing w:val="1"/>
          <w:sz w:val="24"/>
          <w:szCs w:val="24"/>
        </w:rPr>
      </w:pPr>
      <w:bookmarkStart w:id="14" w:name="_bookmark25"/>
      <w:bookmarkStart w:id="15" w:name="_bookmark24"/>
      <w:bookmarkEnd w:id="14"/>
      <w:bookmarkEnd w:id="15"/>
      <w:r w:rsidRPr="00DA4E1A">
        <w:rPr>
          <w:rFonts w:ascii="Calibri" w:hAnsi="Calibri" w:cs="Calibri"/>
          <w:b/>
          <w:bCs/>
          <w:sz w:val="24"/>
          <w:szCs w:val="24"/>
        </w:rPr>
        <w:lastRenderedPageBreak/>
        <w:t>ANNEX</w:t>
      </w:r>
      <w:r w:rsidRPr="00DA4E1A">
        <w:rPr>
          <w:rFonts w:ascii="Calibri" w:hAnsi="Calibri" w:cs="Calibri"/>
          <w:b/>
          <w:bCs/>
          <w:spacing w:val="1"/>
          <w:sz w:val="24"/>
          <w:szCs w:val="24"/>
        </w:rPr>
        <w:t xml:space="preserve"> </w:t>
      </w:r>
      <w:r w:rsidR="00402557">
        <w:rPr>
          <w:rFonts w:ascii="Calibri" w:hAnsi="Calibri" w:cs="Calibri"/>
          <w:b/>
          <w:bCs/>
          <w:sz w:val="24"/>
          <w:szCs w:val="24"/>
        </w:rPr>
        <w:t>1</w:t>
      </w:r>
      <w:r w:rsidRPr="00DA4E1A">
        <w:rPr>
          <w:rFonts w:ascii="Calibri" w:hAnsi="Calibri" w:cs="Calibri"/>
          <w:b/>
          <w:bCs/>
          <w:spacing w:val="-1"/>
          <w:sz w:val="24"/>
          <w:szCs w:val="24"/>
        </w:rPr>
        <w:t xml:space="preserve"> </w:t>
      </w:r>
      <w:r w:rsidRPr="00DA4E1A">
        <w:rPr>
          <w:rFonts w:ascii="Calibri" w:hAnsi="Calibri" w:cs="Calibri"/>
          <w:b/>
          <w:bCs/>
          <w:sz w:val="24"/>
          <w:szCs w:val="24"/>
        </w:rPr>
        <w:t>–</w:t>
      </w:r>
      <w:r w:rsidRPr="00DA4E1A">
        <w:rPr>
          <w:rFonts w:ascii="Calibri" w:hAnsi="Calibri" w:cs="Calibri"/>
          <w:b/>
          <w:bCs/>
          <w:spacing w:val="1"/>
          <w:sz w:val="24"/>
          <w:szCs w:val="24"/>
        </w:rPr>
        <w:t xml:space="preserve"> </w:t>
      </w:r>
      <w:r w:rsidR="006607AD" w:rsidRPr="006607AD">
        <w:rPr>
          <w:rFonts w:ascii="Calibri" w:hAnsi="Calibri" w:cs="Calibri"/>
          <w:b/>
          <w:bCs/>
          <w:spacing w:val="1"/>
          <w:sz w:val="24"/>
          <w:szCs w:val="24"/>
        </w:rPr>
        <w:t>COVID-19 INFECTION PREVENTION AND CONTROL (IPC) PROTOCOL</w:t>
      </w:r>
    </w:p>
    <w:p w14:paraId="7DF96FE7" w14:textId="77777777" w:rsidR="00E02A51" w:rsidRDefault="00E02A51" w:rsidP="00AF13BD">
      <w:pPr>
        <w:tabs>
          <w:tab w:val="left" w:pos="1260"/>
          <w:tab w:val="left" w:pos="1350"/>
        </w:tabs>
        <w:kinsoku w:val="0"/>
        <w:overflowPunct w:val="0"/>
        <w:autoSpaceDE w:val="0"/>
        <w:autoSpaceDN w:val="0"/>
        <w:adjustRightInd w:val="0"/>
        <w:spacing w:before="120" w:after="120" w:line="240" w:lineRule="auto"/>
        <w:ind w:right="29"/>
        <w:jc w:val="both"/>
        <w:rPr>
          <w:rFonts w:ascii="Calibri" w:hAnsi="Calibri" w:cs="Calibri"/>
          <w:b/>
          <w:bCs/>
          <w:spacing w:val="1"/>
          <w:sz w:val="24"/>
          <w:szCs w:val="24"/>
        </w:rPr>
      </w:pPr>
    </w:p>
    <w:p w14:paraId="74D752B8" w14:textId="77777777" w:rsidR="007F335D" w:rsidRPr="007F335D" w:rsidRDefault="007F335D" w:rsidP="00AF13BD">
      <w:pPr>
        <w:pStyle w:val="ListParagraph"/>
        <w:numPr>
          <w:ilvl w:val="0"/>
          <w:numId w:val="75"/>
        </w:numPr>
        <w:tabs>
          <w:tab w:val="left" w:pos="1260"/>
          <w:tab w:val="left" w:pos="1350"/>
        </w:tabs>
        <w:kinsoku w:val="0"/>
        <w:overflowPunct w:val="0"/>
        <w:spacing w:before="120" w:after="120"/>
        <w:ind w:left="270" w:right="29" w:hanging="270"/>
        <w:jc w:val="both"/>
        <w:rPr>
          <w:b/>
          <w:bCs/>
          <w:spacing w:val="1"/>
        </w:rPr>
      </w:pPr>
      <w:r w:rsidRPr="007F335D">
        <w:rPr>
          <w:b/>
          <w:bCs/>
          <w:spacing w:val="1"/>
        </w:rPr>
        <w:t xml:space="preserve">Purpose </w:t>
      </w:r>
    </w:p>
    <w:p w14:paraId="2004E531" w14:textId="200F3402" w:rsidR="007F335D" w:rsidRPr="007F335D" w:rsidRDefault="007F335D" w:rsidP="00AF13BD">
      <w:pPr>
        <w:tabs>
          <w:tab w:val="left" w:pos="1260"/>
          <w:tab w:val="left" w:pos="1350"/>
        </w:tabs>
        <w:kinsoku w:val="0"/>
        <w:overflowPunct w:val="0"/>
        <w:autoSpaceDE w:val="0"/>
        <w:autoSpaceDN w:val="0"/>
        <w:adjustRightInd w:val="0"/>
        <w:spacing w:before="120" w:after="120" w:line="240" w:lineRule="auto"/>
        <w:ind w:left="270" w:right="29"/>
        <w:jc w:val="both"/>
        <w:rPr>
          <w:rFonts w:ascii="Calibri" w:hAnsi="Calibri" w:cs="Calibri"/>
          <w:spacing w:val="1"/>
          <w:sz w:val="24"/>
          <w:szCs w:val="24"/>
        </w:rPr>
      </w:pPr>
      <w:r w:rsidRPr="007F335D">
        <w:rPr>
          <w:rFonts w:ascii="Calibri" w:hAnsi="Calibri" w:cs="Calibri"/>
          <w:spacing w:val="1"/>
          <w:sz w:val="24"/>
          <w:szCs w:val="24"/>
        </w:rPr>
        <w:t xml:space="preserve">The purpose of this Protocol is to identify COVID-19 transmission risks associated with the implementation of the </w:t>
      </w:r>
      <w:r>
        <w:rPr>
          <w:rFonts w:ascii="Calibri" w:hAnsi="Calibri" w:cs="Calibri"/>
          <w:spacing w:val="1"/>
          <w:sz w:val="24"/>
          <w:szCs w:val="24"/>
        </w:rPr>
        <w:t>CNP-II,</w:t>
      </w:r>
      <w:r w:rsidRPr="007F335D">
        <w:rPr>
          <w:rFonts w:ascii="Calibri" w:hAnsi="Calibri" w:cs="Calibri"/>
          <w:spacing w:val="1"/>
          <w:sz w:val="24"/>
          <w:szCs w:val="24"/>
        </w:rPr>
        <w:t xml:space="preserve"> outline</w:t>
      </w:r>
      <w:r>
        <w:rPr>
          <w:rFonts w:ascii="Calibri" w:hAnsi="Calibri" w:cs="Calibri"/>
          <w:spacing w:val="1"/>
          <w:sz w:val="24"/>
          <w:szCs w:val="24"/>
        </w:rPr>
        <w:t>s</w:t>
      </w:r>
      <w:r w:rsidRPr="007F335D">
        <w:rPr>
          <w:rFonts w:ascii="Calibri" w:hAnsi="Calibri" w:cs="Calibri"/>
          <w:spacing w:val="1"/>
          <w:sz w:val="24"/>
          <w:szCs w:val="24"/>
        </w:rPr>
        <w:t xml:space="preserve"> appropriate risk mitigation measures; and assign roles and responsibilities for their implementation.</w:t>
      </w:r>
    </w:p>
    <w:p w14:paraId="76D94677" w14:textId="77777777" w:rsidR="007F335D" w:rsidRPr="007F335D" w:rsidRDefault="007F335D" w:rsidP="00AF13BD">
      <w:pPr>
        <w:pStyle w:val="ListParagraph"/>
        <w:numPr>
          <w:ilvl w:val="0"/>
          <w:numId w:val="75"/>
        </w:numPr>
        <w:tabs>
          <w:tab w:val="left" w:pos="1080"/>
          <w:tab w:val="left" w:pos="1260"/>
          <w:tab w:val="left" w:pos="1350"/>
        </w:tabs>
        <w:kinsoku w:val="0"/>
        <w:overflowPunct w:val="0"/>
        <w:spacing w:before="120" w:after="120"/>
        <w:ind w:left="270" w:right="29" w:hanging="270"/>
        <w:jc w:val="both"/>
        <w:rPr>
          <w:b/>
          <w:bCs/>
          <w:spacing w:val="1"/>
        </w:rPr>
      </w:pPr>
      <w:r w:rsidRPr="007F335D">
        <w:rPr>
          <w:b/>
          <w:bCs/>
          <w:spacing w:val="1"/>
        </w:rPr>
        <w:t xml:space="preserve">COVID-19 Transmission Risks </w:t>
      </w:r>
    </w:p>
    <w:p w14:paraId="79468CE6" w14:textId="3CEE1D99" w:rsidR="007F335D" w:rsidRPr="007F335D" w:rsidRDefault="007F335D" w:rsidP="00AF13BD">
      <w:pPr>
        <w:tabs>
          <w:tab w:val="left" w:pos="1260"/>
          <w:tab w:val="left" w:pos="1350"/>
        </w:tabs>
        <w:kinsoku w:val="0"/>
        <w:overflowPunct w:val="0"/>
        <w:autoSpaceDE w:val="0"/>
        <w:autoSpaceDN w:val="0"/>
        <w:adjustRightInd w:val="0"/>
        <w:spacing w:before="120" w:after="120" w:line="240" w:lineRule="auto"/>
        <w:ind w:left="270" w:right="29"/>
        <w:jc w:val="both"/>
        <w:rPr>
          <w:rFonts w:ascii="Calibri" w:hAnsi="Calibri" w:cs="Calibri"/>
          <w:spacing w:val="1"/>
          <w:sz w:val="24"/>
          <w:szCs w:val="24"/>
        </w:rPr>
      </w:pPr>
      <w:r w:rsidRPr="007F335D">
        <w:rPr>
          <w:rFonts w:ascii="Calibri" w:hAnsi="Calibri" w:cs="Calibri"/>
          <w:spacing w:val="1"/>
          <w:sz w:val="24"/>
          <w:szCs w:val="24"/>
        </w:rPr>
        <w:t xml:space="preserve">There may be potential COVID 19 related health and safety risks to communities and CPWC operators associated with community mobilization activities such as campaign on improved maternal and child health and nutrition practices, door-to-door home visits, related operational meetings of NCDDS officials and provincial level staff, and in-person trainings for CPWC operators. </w:t>
      </w:r>
    </w:p>
    <w:p w14:paraId="22983C4E" w14:textId="77777777" w:rsidR="007F335D" w:rsidRPr="00237041" w:rsidRDefault="007F335D" w:rsidP="00AF13BD">
      <w:pPr>
        <w:pStyle w:val="ListParagraph"/>
        <w:numPr>
          <w:ilvl w:val="0"/>
          <w:numId w:val="75"/>
        </w:numPr>
        <w:tabs>
          <w:tab w:val="left" w:pos="1260"/>
          <w:tab w:val="left" w:pos="1350"/>
        </w:tabs>
        <w:kinsoku w:val="0"/>
        <w:overflowPunct w:val="0"/>
        <w:spacing w:before="120" w:after="120"/>
        <w:ind w:left="270" w:right="29" w:hanging="270"/>
        <w:jc w:val="both"/>
        <w:rPr>
          <w:b/>
          <w:bCs/>
          <w:spacing w:val="1"/>
        </w:rPr>
      </w:pPr>
      <w:r w:rsidRPr="00237041">
        <w:rPr>
          <w:b/>
          <w:bCs/>
          <w:spacing w:val="1"/>
        </w:rPr>
        <w:t>COVID-19 Transmission Mitigation Measures</w:t>
      </w:r>
    </w:p>
    <w:p w14:paraId="398B25E8" w14:textId="76FF7F7D" w:rsidR="00237041" w:rsidRPr="00237041" w:rsidRDefault="007F335D" w:rsidP="00AF13BD">
      <w:pPr>
        <w:tabs>
          <w:tab w:val="left" w:pos="1260"/>
          <w:tab w:val="left" w:pos="1350"/>
        </w:tabs>
        <w:kinsoku w:val="0"/>
        <w:overflowPunct w:val="0"/>
        <w:autoSpaceDE w:val="0"/>
        <w:autoSpaceDN w:val="0"/>
        <w:adjustRightInd w:val="0"/>
        <w:spacing w:before="120" w:after="120" w:line="240" w:lineRule="auto"/>
        <w:ind w:left="270" w:right="29"/>
        <w:jc w:val="both"/>
        <w:rPr>
          <w:rFonts w:ascii="Calibri" w:hAnsi="Calibri" w:cs="Calibri"/>
          <w:spacing w:val="1"/>
          <w:sz w:val="24"/>
          <w:szCs w:val="24"/>
        </w:rPr>
      </w:pPr>
      <w:r w:rsidRPr="00237041">
        <w:rPr>
          <w:rFonts w:ascii="Calibri" w:hAnsi="Calibri" w:cs="Calibri"/>
          <w:spacing w:val="1"/>
          <w:sz w:val="24"/>
          <w:szCs w:val="24"/>
        </w:rPr>
        <w:t xml:space="preserve">To mitigate this risk, the CNP-ll will follow occupational health and safety (OHS) protocols to prevent the spread of COVID-19 (social distancing and sanitizing facilities, protected equipment, etc.).  </w:t>
      </w:r>
      <w:r w:rsidR="00237041" w:rsidRPr="00237041">
        <w:rPr>
          <w:rFonts w:ascii="Calibri" w:hAnsi="Calibri" w:cs="Calibri"/>
          <w:spacing w:val="1"/>
          <w:sz w:val="24"/>
          <w:szCs w:val="24"/>
        </w:rPr>
        <w:t>Th</w:t>
      </w:r>
      <w:r w:rsidR="00237041">
        <w:rPr>
          <w:rFonts w:ascii="Calibri" w:hAnsi="Calibri" w:cs="Calibri"/>
          <w:spacing w:val="1"/>
          <w:sz w:val="24"/>
          <w:szCs w:val="24"/>
        </w:rPr>
        <w:t>e</w:t>
      </w:r>
      <w:r w:rsidR="00237041" w:rsidRPr="00237041">
        <w:rPr>
          <w:rFonts w:ascii="Calibri" w:hAnsi="Calibri" w:cs="Calibri"/>
          <w:spacing w:val="1"/>
          <w:sz w:val="24"/>
          <w:szCs w:val="24"/>
        </w:rPr>
        <w:t xml:space="preserve"> </w:t>
      </w:r>
      <w:r w:rsidR="00237041">
        <w:rPr>
          <w:rFonts w:ascii="Calibri" w:hAnsi="Calibri" w:cs="Calibri"/>
          <w:spacing w:val="1"/>
          <w:sz w:val="24"/>
          <w:szCs w:val="24"/>
        </w:rPr>
        <w:t xml:space="preserve">following outlines measures to manage </w:t>
      </w:r>
      <w:r w:rsidR="00237041" w:rsidRPr="00237041">
        <w:rPr>
          <w:rFonts w:ascii="Calibri" w:hAnsi="Calibri" w:cs="Calibri"/>
          <w:spacing w:val="1"/>
          <w:sz w:val="24"/>
          <w:szCs w:val="24"/>
        </w:rPr>
        <w:t xml:space="preserve">public health risks associated with stakeholder engagement, and with the recognition that the situation is developing rapidly, and careful regard needs to be given to the national requirements and any updated guidance issued by WHO. It is important that the alternative ways of managing consultation and stakeholder engagement discussed with stakeholders are in accordance with the local applicable laws and policies, especially those related to media and communication. </w:t>
      </w:r>
    </w:p>
    <w:p w14:paraId="2A3A15B7" w14:textId="5ABEA025" w:rsidR="00237041" w:rsidRPr="00237041" w:rsidRDefault="00237041" w:rsidP="00AF13BD">
      <w:pPr>
        <w:tabs>
          <w:tab w:val="left" w:pos="1260"/>
          <w:tab w:val="left" w:pos="1350"/>
        </w:tabs>
        <w:kinsoku w:val="0"/>
        <w:overflowPunct w:val="0"/>
        <w:autoSpaceDE w:val="0"/>
        <w:autoSpaceDN w:val="0"/>
        <w:adjustRightInd w:val="0"/>
        <w:spacing w:before="120" w:after="120" w:line="240" w:lineRule="auto"/>
        <w:ind w:left="270" w:right="29"/>
        <w:jc w:val="both"/>
        <w:rPr>
          <w:rFonts w:ascii="Calibri" w:hAnsi="Calibri" w:cs="Calibri"/>
          <w:spacing w:val="1"/>
          <w:sz w:val="24"/>
          <w:szCs w:val="24"/>
        </w:rPr>
      </w:pPr>
      <w:r w:rsidRPr="00237041">
        <w:rPr>
          <w:rFonts w:ascii="Calibri" w:hAnsi="Calibri" w:cs="Calibri"/>
          <w:spacing w:val="1"/>
          <w:sz w:val="24"/>
          <w:szCs w:val="24"/>
        </w:rPr>
        <w:t xml:space="preserve">For the above purpose, the </w:t>
      </w:r>
      <w:r>
        <w:rPr>
          <w:rFonts w:ascii="Calibri" w:hAnsi="Calibri" w:cs="Calibri"/>
          <w:spacing w:val="1"/>
          <w:sz w:val="24"/>
          <w:szCs w:val="24"/>
        </w:rPr>
        <w:t>NC</w:t>
      </w:r>
      <w:r w:rsidR="002C7420">
        <w:rPr>
          <w:rFonts w:ascii="Calibri" w:hAnsi="Calibri" w:cs="Calibri"/>
          <w:spacing w:val="1"/>
          <w:sz w:val="24"/>
          <w:szCs w:val="24"/>
        </w:rPr>
        <w:t>DSS</w:t>
      </w:r>
      <w:r w:rsidRPr="00237041">
        <w:rPr>
          <w:rFonts w:ascii="Calibri" w:hAnsi="Calibri" w:cs="Calibri"/>
          <w:spacing w:val="1"/>
          <w:sz w:val="24"/>
          <w:szCs w:val="24"/>
        </w:rPr>
        <w:t xml:space="preserve"> and beneficiaries of the </w:t>
      </w:r>
      <w:r w:rsidR="002C7420">
        <w:rPr>
          <w:rFonts w:ascii="Calibri" w:hAnsi="Calibri" w:cs="Calibri"/>
          <w:spacing w:val="1"/>
          <w:sz w:val="24"/>
          <w:szCs w:val="24"/>
        </w:rPr>
        <w:t>CNP-II</w:t>
      </w:r>
      <w:r w:rsidRPr="00237041">
        <w:rPr>
          <w:rFonts w:ascii="Calibri" w:hAnsi="Calibri" w:cs="Calibri"/>
          <w:spacing w:val="1"/>
          <w:sz w:val="24"/>
          <w:szCs w:val="24"/>
        </w:rPr>
        <w:t xml:space="preserve"> should exercise the following: </w:t>
      </w:r>
    </w:p>
    <w:p w14:paraId="1D64CDE9" w14:textId="77777777" w:rsidR="002C7420" w:rsidRDefault="00237041" w:rsidP="00AF13BD">
      <w:pPr>
        <w:pStyle w:val="ListParagraph"/>
        <w:numPr>
          <w:ilvl w:val="0"/>
          <w:numId w:val="76"/>
        </w:numPr>
        <w:tabs>
          <w:tab w:val="left" w:pos="1260"/>
          <w:tab w:val="left" w:pos="1350"/>
        </w:tabs>
        <w:kinsoku w:val="0"/>
        <w:overflowPunct w:val="0"/>
        <w:spacing w:before="120" w:after="120"/>
        <w:ind w:left="630" w:right="29"/>
        <w:jc w:val="both"/>
        <w:rPr>
          <w:spacing w:val="1"/>
        </w:rPr>
      </w:pPr>
      <w:r w:rsidRPr="002C7420">
        <w:rPr>
          <w:spacing w:val="1"/>
        </w:rPr>
        <w:t>Identify and review planned activities under the project requiring stakeholder engagement and public consultations.</w:t>
      </w:r>
    </w:p>
    <w:p w14:paraId="3FB4B0DA" w14:textId="0E8BDB54" w:rsidR="002C7420" w:rsidRDefault="00237041" w:rsidP="00AF13BD">
      <w:pPr>
        <w:pStyle w:val="ListParagraph"/>
        <w:numPr>
          <w:ilvl w:val="0"/>
          <w:numId w:val="76"/>
        </w:numPr>
        <w:tabs>
          <w:tab w:val="left" w:pos="1260"/>
          <w:tab w:val="left" w:pos="1350"/>
        </w:tabs>
        <w:kinsoku w:val="0"/>
        <w:overflowPunct w:val="0"/>
        <w:spacing w:before="120" w:after="120"/>
        <w:ind w:left="630" w:right="29"/>
        <w:jc w:val="both"/>
        <w:rPr>
          <w:spacing w:val="1"/>
        </w:rPr>
      </w:pPr>
      <w:r w:rsidRPr="002C7420">
        <w:rPr>
          <w:spacing w:val="1"/>
        </w:rPr>
        <w:t>Assess the level of proposed direct engagement with stakeholders, including location and size of proposed gatherings, frequency of engagement, categories of stakeholders (</w:t>
      </w:r>
      <w:r w:rsidR="002C7420">
        <w:rPr>
          <w:spacing w:val="1"/>
        </w:rPr>
        <w:t xml:space="preserve">international, </w:t>
      </w:r>
      <w:r w:rsidRPr="002C7420">
        <w:rPr>
          <w:spacing w:val="1"/>
        </w:rPr>
        <w:t>national, local) etc.</w:t>
      </w:r>
    </w:p>
    <w:p w14:paraId="5B18477E" w14:textId="77777777" w:rsidR="002C7420" w:rsidRDefault="00237041" w:rsidP="00AF13BD">
      <w:pPr>
        <w:pStyle w:val="ListParagraph"/>
        <w:numPr>
          <w:ilvl w:val="0"/>
          <w:numId w:val="76"/>
        </w:numPr>
        <w:tabs>
          <w:tab w:val="left" w:pos="1260"/>
          <w:tab w:val="left" w:pos="1350"/>
        </w:tabs>
        <w:kinsoku w:val="0"/>
        <w:overflowPunct w:val="0"/>
        <w:spacing w:before="120" w:after="120"/>
        <w:ind w:left="630" w:right="29"/>
        <w:jc w:val="both"/>
        <w:rPr>
          <w:spacing w:val="1"/>
        </w:rPr>
      </w:pPr>
      <w:r w:rsidRPr="002C7420">
        <w:rPr>
          <w:spacing w:val="1"/>
        </w:rPr>
        <w:t>Assess the level of risks of the virus transmission for these engagements, and how restrictions that are in effect in the country / project area would affect these engagements.</w:t>
      </w:r>
    </w:p>
    <w:p w14:paraId="51C1C115" w14:textId="77777777" w:rsidR="002C7420" w:rsidRDefault="00237041" w:rsidP="00AF13BD">
      <w:pPr>
        <w:pStyle w:val="ListParagraph"/>
        <w:numPr>
          <w:ilvl w:val="0"/>
          <w:numId w:val="76"/>
        </w:numPr>
        <w:tabs>
          <w:tab w:val="left" w:pos="1260"/>
          <w:tab w:val="left" w:pos="1350"/>
        </w:tabs>
        <w:kinsoku w:val="0"/>
        <w:overflowPunct w:val="0"/>
        <w:spacing w:before="120" w:after="120"/>
        <w:ind w:left="630" w:right="29"/>
        <w:jc w:val="both"/>
        <w:rPr>
          <w:spacing w:val="1"/>
        </w:rPr>
      </w:pPr>
      <w:r w:rsidRPr="002C7420">
        <w:rPr>
          <w:spacing w:val="1"/>
        </w:rPr>
        <w:t xml:space="preserve">Identify project activities for which consultation/engagement is critical and cannot be postponed without having significant impact on project timelines. </w:t>
      </w:r>
    </w:p>
    <w:p w14:paraId="0CD13005" w14:textId="77777777" w:rsidR="002C7420" w:rsidRDefault="00237041" w:rsidP="00AF13BD">
      <w:pPr>
        <w:pStyle w:val="ListParagraph"/>
        <w:numPr>
          <w:ilvl w:val="0"/>
          <w:numId w:val="76"/>
        </w:numPr>
        <w:tabs>
          <w:tab w:val="left" w:pos="1260"/>
          <w:tab w:val="left" w:pos="1350"/>
        </w:tabs>
        <w:kinsoku w:val="0"/>
        <w:overflowPunct w:val="0"/>
        <w:spacing w:before="120" w:after="120"/>
        <w:ind w:left="630" w:right="29"/>
        <w:jc w:val="both"/>
        <w:rPr>
          <w:spacing w:val="1"/>
        </w:rPr>
      </w:pPr>
      <w:r w:rsidRPr="002C7420">
        <w:rPr>
          <w:spacing w:val="1"/>
        </w:rPr>
        <w:t>Assess the level of information and communication technology penetration among key stakeholder groups, to identify the type of communication channels that can be effectively used in the project context</w:t>
      </w:r>
      <w:r w:rsidR="002C7420">
        <w:rPr>
          <w:spacing w:val="1"/>
        </w:rPr>
        <w:t>.</w:t>
      </w:r>
    </w:p>
    <w:p w14:paraId="34552FC7" w14:textId="77777777" w:rsidR="00AF13BD" w:rsidRDefault="00237041" w:rsidP="00AF13BD">
      <w:pPr>
        <w:pStyle w:val="ListParagraph"/>
        <w:numPr>
          <w:ilvl w:val="0"/>
          <w:numId w:val="76"/>
        </w:numPr>
        <w:tabs>
          <w:tab w:val="left" w:pos="1260"/>
          <w:tab w:val="left" w:pos="1350"/>
        </w:tabs>
        <w:kinsoku w:val="0"/>
        <w:overflowPunct w:val="0"/>
        <w:spacing w:before="120" w:after="120"/>
        <w:ind w:left="630" w:right="29"/>
        <w:jc w:val="both"/>
        <w:rPr>
          <w:spacing w:val="1"/>
        </w:rPr>
      </w:pPr>
      <w:r w:rsidRPr="002C7420">
        <w:rPr>
          <w:spacing w:val="1"/>
        </w:rPr>
        <w:t xml:space="preserve">Discuss and agree with the </w:t>
      </w:r>
      <w:r w:rsidR="002C7420">
        <w:rPr>
          <w:spacing w:val="1"/>
        </w:rPr>
        <w:t>NCDSS</w:t>
      </w:r>
      <w:r w:rsidRPr="002C7420">
        <w:rPr>
          <w:spacing w:val="1"/>
        </w:rPr>
        <w:t xml:space="preserve"> specific channels of communication that should be used while conducting stakeholder consultation and engagement activities. The following are some considerations while selecting channels of communication, considering the current COVID-19 situation:</w:t>
      </w:r>
    </w:p>
    <w:p w14:paraId="04664329" w14:textId="68EBACE8" w:rsidR="00873186" w:rsidRPr="00AF13BD" w:rsidRDefault="00237041" w:rsidP="00AF13BD">
      <w:pPr>
        <w:pStyle w:val="ListParagraph"/>
        <w:numPr>
          <w:ilvl w:val="0"/>
          <w:numId w:val="77"/>
        </w:numPr>
        <w:tabs>
          <w:tab w:val="left" w:pos="1260"/>
          <w:tab w:val="left" w:pos="1350"/>
        </w:tabs>
        <w:kinsoku w:val="0"/>
        <w:overflowPunct w:val="0"/>
        <w:spacing w:before="120" w:after="120"/>
        <w:ind w:left="990" w:right="29"/>
        <w:jc w:val="both"/>
        <w:rPr>
          <w:spacing w:val="1"/>
        </w:rPr>
      </w:pPr>
      <w:r w:rsidRPr="00AF13BD">
        <w:rPr>
          <w:spacing w:val="1"/>
        </w:rPr>
        <w:lastRenderedPageBreak/>
        <w:t xml:space="preserve">Avoid public gatherings (considering national restrictions), including </w:t>
      </w:r>
      <w:r w:rsidR="00873186" w:rsidRPr="00AF13BD">
        <w:rPr>
          <w:spacing w:val="1"/>
        </w:rPr>
        <w:t xml:space="preserve">face-to-face </w:t>
      </w:r>
      <w:r w:rsidRPr="00AF13BD">
        <w:rPr>
          <w:spacing w:val="1"/>
        </w:rPr>
        <w:t>public hearings, workshops</w:t>
      </w:r>
      <w:r w:rsidR="00873186" w:rsidRPr="00AF13BD">
        <w:rPr>
          <w:spacing w:val="1"/>
        </w:rPr>
        <w:t>.</w:t>
      </w:r>
    </w:p>
    <w:p w14:paraId="3B890A5C" w14:textId="77777777" w:rsidR="00873186" w:rsidRDefault="00873186" w:rsidP="00AF13BD">
      <w:pPr>
        <w:pStyle w:val="ListParagraph"/>
        <w:numPr>
          <w:ilvl w:val="0"/>
          <w:numId w:val="77"/>
        </w:numPr>
        <w:tabs>
          <w:tab w:val="left" w:pos="1260"/>
          <w:tab w:val="left" w:pos="1350"/>
        </w:tabs>
        <w:kinsoku w:val="0"/>
        <w:overflowPunct w:val="0"/>
        <w:spacing w:before="120" w:after="120"/>
        <w:ind w:left="990" w:right="29"/>
        <w:jc w:val="both"/>
        <w:rPr>
          <w:spacing w:val="1"/>
        </w:rPr>
      </w:pPr>
      <w:r>
        <w:rPr>
          <w:spacing w:val="1"/>
        </w:rPr>
        <w:t>Use local facilitators who are already in the communities for community engagement to minimize mobility across regions.</w:t>
      </w:r>
      <w:r w:rsidR="00237041" w:rsidRPr="002C7420">
        <w:rPr>
          <w:spacing w:val="1"/>
        </w:rPr>
        <w:t xml:space="preserve"> </w:t>
      </w:r>
    </w:p>
    <w:p w14:paraId="461CF975" w14:textId="77777777" w:rsidR="00873186" w:rsidRDefault="00237041" w:rsidP="00AF13BD">
      <w:pPr>
        <w:pStyle w:val="ListParagraph"/>
        <w:numPr>
          <w:ilvl w:val="0"/>
          <w:numId w:val="77"/>
        </w:numPr>
        <w:tabs>
          <w:tab w:val="left" w:pos="1260"/>
          <w:tab w:val="left" w:pos="1350"/>
        </w:tabs>
        <w:kinsoku w:val="0"/>
        <w:overflowPunct w:val="0"/>
        <w:spacing w:before="120" w:after="120"/>
        <w:ind w:left="990" w:right="29"/>
        <w:jc w:val="both"/>
        <w:rPr>
          <w:spacing w:val="1"/>
        </w:rPr>
      </w:pPr>
      <w:r w:rsidRPr="00873186">
        <w:rPr>
          <w:spacing w:val="1"/>
        </w:rPr>
        <w:t>If smaller meetings are permitted, conduct consultations in small-group sessions, such as focus group meetings If not permitted, make all reasonable efforts to conduct meetings through online channels, including webex, zoom and skype.</w:t>
      </w:r>
    </w:p>
    <w:p w14:paraId="3DA61826" w14:textId="77777777" w:rsidR="00873186" w:rsidRDefault="00237041" w:rsidP="00AF13BD">
      <w:pPr>
        <w:pStyle w:val="ListParagraph"/>
        <w:numPr>
          <w:ilvl w:val="0"/>
          <w:numId w:val="77"/>
        </w:numPr>
        <w:tabs>
          <w:tab w:val="left" w:pos="1260"/>
          <w:tab w:val="left" w:pos="1350"/>
        </w:tabs>
        <w:kinsoku w:val="0"/>
        <w:overflowPunct w:val="0"/>
        <w:spacing w:before="120" w:after="120"/>
        <w:ind w:left="990" w:right="29"/>
        <w:jc w:val="both"/>
        <w:rPr>
          <w:spacing w:val="1"/>
        </w:rPr>
      </w:pPr>
      <w:r w:rsidRPr="00873186">
        <w:rPr>
          <w:spacing w:val="1"/>
        </w:rPr>
        <w:t>Diversify means of communication and rely more on social media and online channels. Where possible and appropriate, create dedicated online platforms and chatgroups appropriate for the purpose, based on the type and category of stakeholders.</w:t>
      </w:r>
    </w:p>
    <w:p w14:paraId="3FC9A0E7" w14:textId="77777777" w:rsidR="00873186" w:rsidRDefault="00237041" w:rsidP="00AF13BD">
      <w:pPr>
        <w:pStyle w:val="ListParagraph"/>
        <w:numPr>
          <w:ilvl w:val="0"/>
          <w:numId w:val="77"/>
        </w:numPr>
        <w:tabs>
          <w:tab w:val="left" w:pos="1260"/>
          <w:tab w:val="left" w:pos="1350"/>
        </w:tabs>
        <w:kinsoku w:val="0"/>
        <w:overflowPunct w:val="0"/>
        <w:spacing w:before="120" w:after="120"/>
        <w:ind w:left="990" w:right="29"/>
        <w:jc w:val="both"/>
        <w:rPr>
          <w:spacing w:val="1"/>
        </w:rPr>
      </w:pPr>
      <w:r w:rsidRPr="00873186">
        <w:rPr>
          <w:spacing w:val="1"/>
        </w:rPr>
        <w:t>Employ traditional channels of communications (TV, newspaper, radio, dedicated phone-lines, and mail) when stakeholders to do not have access to online channels or do not use them frequently. Traditional channels can also be highly effective in conveying relevant information to stakeholders and allow them to provide their feedback and suggestions.</w:t>
      </w:r>
    </w:p>
    <w:p w14:paraId="4B489930" w14:textId="77777777" w:rsidR="00873186" w:rsidRDefault="00237041" w:rsidP="00AF13BD">
      <w:pPr>
        <w:pStyle w:val="ListParagraph"/>
        <w:numPr>
          <w:ilvl w:val="0"/>
          <w:numId w:val="77"/>
        </w:numPr>
        <w:tabs>
          <w:tab w:val="left" w:pos="1260"/>
          <w:tab w:val="left" w:pos="1350"/>
        </w:tabs>
        <w:kinsoku w:val="0"/>
        <w:overflowPunct w:val="0"/>
        <w:spacing w:before="120" w:after="120"/>
        <w:ind w:left="990" w:right="29"/>
        <w:jc w:val="both"/>
        <w:rPr>
          <w:spacing w:val="1"/>
        </w:rPr>
      </w:pPr>
      <w:r w:rsidRPr="00873186">
        <w:rPr>
          <w:spacing w:val="1"/>
        </w:rPr>
        <w:t>Where direct engagement with project affected people or beneficiaries is necessary, identify channels for direct communication with each affected household via a context specific combination of email messages, mail, online platforms, dedicated phone lines with knowledgeable operators.</w:t>
      </w:r>
    </w:p>
    <w:p w14:paraId="33D0ADF4" w14:textId="76AC4E66" w:rsidR="00237041" w:rsidRPr="00873186" w:rsidRDefault="00237041" w:rsidP="00AF13BD">
      <w:pPr>
        <w:pStyle w:val="ListParagraph"/>
        <w:numPr>
          <w:ilvl w:val="0"/>
          <w:numId w:val="76"/>
        </w:numPr>
        <w:tabs>
          <w:tab w:val="left" w:pos="1800"/>
          <w:tab w:val="left" w:pos="2880"/>
        </w:tabs>
        <w:kinsoku w:val="0"/>
        <w:overflowPunct w:val="0"/>
        <w:spacing w:before="120" w:after="120"/>
        <w:ind w:left="630" w:right="29"/>
        <w:jc w:val="both"/>
        <w:rPr>
          <w:spacing w:val="1"/>
        </w:rPr>
      </w:pPr>
      <w:r w:rsidRPr="00873186">
        <w:rPr>
          <w:spacing w:val="1"/>
        </w:rPr>
        <w:t>Each of the proposed channels of engagement should clearly specify how feedback and suggestions can be provided by stakeholders.</w:t>
      </w:r>
    </w:p>
    <w:p w14:paraId="67AE3D7C" w14:textId="6F58A3E7" w:rsidR="00237041" w:rsidRPr="00237041" w:rsidRDefault="00237041" w:rsidP="00AF13BD">
      <w:pPr>
        <w:tabs>
          <w:tab w:val="left" w:pos="1260"/>
          <w:tab w:val="left" w:pos="1350"/>
        </w:tabs>
        <w:kinsoku w:val="0"/>
        <w:overflowPunct w:val="0"/>
        <w:autoSpaceDE w:val="0"/>
        <w:autoSpaceDN w:val="0"/>
        <w:adjustRightInd w:val="0"/>
        <w:spacing w:before="120" w:after="120" w:line="240" w:lineRule="auto"/>
        <w:ind w:right="29"/>
        <w:jc w:val="both"/>
        <w:rPr>
          <w:rFonts w:ascii="Calibri" w:hAnsi="Calibri" w:cs="Calibri"/>
          <w:spacing w:val="1"/>
          <w:sz w:val="24"/>
          <w:szCs w:val="24"/>
        </w:rPr>
      </w:pPr>
      <w:r w:rsidRPr="00237041">
        <w:rPr>
          <w:rFonts w:ascii="Calibri" w:hAnsi="Calibri" w:cs="Calibri"/>
          <w:spacing w:val="1"/>
          <w:sz w:val="24"/>
          <w:szCs w:val="24"/>
        </w:rPr>
        <w:t xml:space="preserve">An appropriate approach to conducting stakeholder engagement can be developed in most contexts and situations. However, in situations where none of the above means of communication are considered adequate for required consultations with stakeholders, the </w:t>
      </w:r>
      <w:r w:rsidR="00873186">
        <w:rPr>
          <w:rFonts w:ascii="Calibri" w:hAnsi="Calibri" w:cs="Calibri"/>
          <w:spacing w:val="1"/>
          <w:sz w:val="24"/>
          <w:szCs w:val="24"/>
        </w:rPr>
        <w:t>NCDSS and</w:t>
      </w:r>
      <w:r w:rsidRPr="00237041">
        <w:rPr>
          <w:rFonts w:ascii="Calibri" w:hAnsi="Calibri" w:cs="Calibri"/>
          <w:spacing w:val="1"/>
          <w:sz w:val="24"/>
          <w:szCs w:val="24"/>
        </w:rPr>
        <w:t xml:space="preserve"> implementing agencies should discuss whether specific activities can be rescheduled to a later time, when meaningful stakeholder engagement is possible. Where it is not possible to postpone the activity or where the postponement is likely to cause adverse impacts, the </w:t>
      </w:r>
      <w:r w:rsidR="00873186">
        <w:rPr>
          <w:rFonts w:ascii="Calibri" w:hAnsi="Calibri" w:cs="Calibri"/>
          <w:spacing w:val="1"/>
          <w:sz w:val="24"/>
          <w:szCs w:val="24"/>
        </w:rPr>
        <w:t>NCDSS</w:t>
      </w:r>
      <w:r w:rsidRPr="00237041">
        <w:rPr>
          <w:rFonts w:ascii="Calibri" w:hAnsi="Calibri" w:cs="Calibri"/>
          <w:spacing w:val="1"/>
          <w:sz w:val="24"/>
          <w:szCs w:val="24"/>
        </w:rPr>
        <w:t xml:space="preserve"> shall consult with the World Bank to obtain advice and guidance. </w:t>
      </w:r>
    </w:p>
    <w:p w14:paraId="2279A1B4" w14:textId="77777777" w:rsidR="00237041" w:rsidRPr="00237041" w:rsidRDefault="00237041" w:rsidP="00237041">
      <w:pPr>
        <w:tabs>
          <w:tab w:val="left" w:pos="720"/>
        </w:tabs>
        <w:kinsoku w:val="0"/>
        <w:overflowPunct w:val="0"/>
        <w:autoSpaceDE w:val="0"/>
        <w:autoSpaceDN w:val="0"/>
        <w:adjustRightInd w:val="0"/>
        <w:spacing w:before="120" w:after="120" w:line="240" w:lineRule="auto"/>
        <w:ind w:left="720" w:right="29"/>
        <w:jc w:val="both"/>
        <w:rPr>
          <w:rFonts w:ascii="Calibri" w:hAnsi="Calibri" w:cs="Calibri"/>
          <w:spacing w:val="1"/>
          <w:sz w:val="24"/>
          <w:szCs w:val="24"/>
        </w:rPr>
      </w:pPr>
    </w:p>
    <w:p w14:paraId="2913F584" w14:textId="77777777" w:rsidR="00237041" w:rsidRPr="00237041" w:rsidRDefault="00237041" w:rsidP="007F335D">
      <w:pPr>
        <w:tabs>
          <w:tab w:val="left" w:pos="720"/>
        </w:tabs>
        <w:kinsoku w:val="0"/>
        <w:overflowPunct w:val="0"/>
        <w:autoSpaceDE w:val="0"/>
        <w:autoSpaceDN w:val="0"/>
        <w:adjustRightInd w:val="0"/>
        <w:spacing w:before="120" w:after="120" w:line="240" w:lineRule="auto"/>
        <w:ind w:left="720" w:right="29"/>
        <w:jc w:val="both"/>
        <w:rPr>
          <w:rFonts w:ascii="Calibri" w:hAnsi="Calibri" w:cs="Calibri"/>
          <w:spacing w:val="1"/>
          <w:sz w:val="24"/>
          <w:szCs w:val="24"/>
        </w:rPr>
      </w:pPr>
    </w:p>
    <w:p w14:paraId="7FDE979F" w14:textId="01C2CE53" w:rsidR="006607AD" w:rsidRDefault="006607AD" w:rsidP="006F0C1C">
      <w:pPr>
        <w:tabs>
          <w:tab w:val="left" w:pos="720"/>
        </w:tabs>
        <w:kinsoku w:val="0"/>
        <w:overflowPunct w:val="0"/>
        <w:autoSpaceDE w:val="0"/>
        <w:autoSpaceDN w:val="0"/>
        <w:adjustRightInd w:val="0"/>
        <w:spacing w:before="120" w:after="0" w:line="240" w:lineRule="auto"/>
        <w:ind w:left="720" w:right="30"/>
        <w:jc w:val="both"/>
        <w:rPr>
          <w:rFonts w:ascii="Calibri" w:hAnsi="Calibri" w:cs="Calibri"/>
          <w:b/>
          <w:bCs/>
          <w:spacing w:val="1"/>
          <w:sz w:val="24"/>
          <w:szCs w:val="24"/>
        </w:rPr>
      </w:pPr>
    </w:p>
    <w:p w14:paraId="2971FE5A" w14:textId="15377F05" w:rsidR="007F335D" w:rsidRDefault="007F335D" w:rsidP="006F0C1C">
      <w:pPr>
        <w:tabs>
          <w:tab w:val="left" w:pos="720"/>
        </w:tabs>
        <w:kinsoku w:val="0"/>
        <w:overflowPunct w:val="0"/>
        <w:autoSpaceDE w:val="0"/>
        <w:autoSpaceDN w:val="0"/>
        <w:adjustRightInd w:val="0"/>
        <w:spacing w:before="120" w:after="0" w:line="240" w:lineRule="auto"/>
        <w:ind w:left="720" w:right="30"/>
        <w:jc w:val="both"/>
        <w:rPr>
          <w:rFonts w:ascii="Calibri" w:hAnsi="Calibri" w:cs="Calibri"/>
          <w:b/>
          <w:bCs/>
          <w:spacing w:val="1"/>
          <w:sz w:val="24"/>
          <w:szCs w:val="24"/>
        </w:rPr>
      </w:pPr>
    </w:p>
    <w:p w14:paraId="4E76DED2" w14:textId="4F779B07" w:rsidR="00873186" w:rsidRDefault="00873186">
      <w:pPr>
        <w:rPr>
          <w:rFonts w:ascii="Calibri" w:hAnsi="Calibri" w:cs="Calibri"/>
          <w:b/>
          <w:bCs/>
          <w:spacing w:val="1"/>
          <w:sz w:val="24"/>
          <w:szCs w:val="24"/>
        </w:rPr>
      </w:pPr>
      <w:r>
        <w:rPr>
          <w:rFonts w:ascii="Calibri" w:hAnsi="Calibri" w:cs="Calibri"/>
          <w:b/>
          <w:bCs/>
          <w:spacing w:val="1"/>
          <w:sz w:val="24"/>
          <w:szCs w:val="24"/>
        </w:rPr>
        <w:br w:type="page"/>
      </w:r>
    </w:p>
    <w:p w14:paraId="5F0975C6" w14:textId="57567EE0" w:rsidR="00873186" w:rsidRDefault="18D487B6" w:rsidP="00E02A51">
      <w:pPr>
        <w:tabs>
          <w:tab w:val="left" w:pos="720"/>
        </w:tabs>
        <w:kinsoku w:val="0"/>
        <w:overflowPunct w:val="0"/>
        <w:autoSpaceDE w:val="0"/>
        <w:autoSpaceDN w:val="0"/>
        <w:adjustRightInd w:val="0"/>
        <w:spacing w:before="120" w:after="120" w:line="240" w:lineRule="auto"/>
        <w:ind w:right="29"/>
        <w:jc w:val="both"/>
        <w:rPr>
          <w:rFonts w:ascii="Calibri" w:hAnsi="Calibri" w:cs="Calibri"/>
          <w:b/>
          <w:bCs/>
          <w:spacing w:val="1"/>
          <w:sz w:val="24"/>
          <w:szCs w:val="24"/>
        </w:rPr>
      </w:pPr>
      <w:r w:rsidRPr="00DA4E1A">
        <w:rPr>
          <w:rFonts w:ascii="Calibri" w:hAnsi="Calibri" w:cs="Calibri"/>
          <w:b/>
          <w:bCs/>
          <w:sz w:val="24"/>
          <w:szCs w:val="24"/>
        </w:rPr>
        <w:lastRenderedPageBreak/>
        <w:t>ANNEX</w:t>
      </w:r>
      <w:r w:rsidRPr="00DA4E1A">
        <w:rPr>
          <w:rFonts w:ascii="Calibri" w:hAnsi="Calibri" w:cs="Calibri"/>
          <w:b/>
          <w:bCs/>
          <w:spacing w:val="1"/>
          <w:sz w:val="24"/>
          <w:szCs w:val="24"/>
        </w:rPr>
        <w:t xml:space="preserve"> </w:t>
      </w:r>
      <w:r w:rsidR="008649FB">
        <w:rPr>
          <w:rFonts w:ascii="Calibri" w:hAnsi="Calibri" w:cs="Calibri"/>
          <w:b/>
          <w:bCs/>
          <w:sz w:val="24"/>
          <w:szCs w:val="24"/>
        </w:rPr>
        <w:t>2</w:t>
      </w:r>
      <w:r w:rsidRPr="00DA4E1A">
        <w:rPr>
          <w:rFonts w:ascii="Calibri" w:hAnsi="Calibri" w:cs="Calibri"/>
          <w:b/>
          <w:bCs/>
          <w:spacing w:val="-1"/>
          <w:sz w:val="24"/>
          <w:szCs w:val="24"/>
        </w:rPr>
        <w:t xml:space="preserve"> </w:t>
      </w:r>
      <w:r w:rsidRPr="00DA4E1A">
        <w:rPr>
          <w:rFonts w:ascii="Calibri" w:hAnsi="Calibri" w:cs="Calibri"/>
          <w:b/>
          <w:bCs/>
          <w:sz w:val="24"/>
          <w:szCs w:val="24"/>
        </w:rPr>
        <w:t>–</w:t>
      </w:r>
      <w:r w:rsidRPr="00DA4E1A">
        <w:rPr>
          <w:rFonts w:ascii="Calibri" w:hAnsi="Calibri" w:cs="Calibri"/>
          <w:b/>
          <w:bCs/>
          <w:spacing w:val="1"/>
          <w:sz w:val="24"/>
          <w:szCs w:val="24"/>
        </w:rPr>
        <w:t xml:space="preserve"> </w:t>
      </w:r>
      <w:r w:rsidR="73DC1BA1">
        <w:rPr>
          <w:rFonts w:ascii="Calibri" w:hAnsi="Calibri" w:cs="Calibri"/>
          <w:b/>
          <w:bCs/>
          <w:spacing w:val="1"/>
          <w:sz w:val="24"/>
          <w:szCs w:val="24"/>
        </w:rPr>
        <w:t xml:space="preserve">E-WASTE RISK ASSESSMENT AND </w:t>
      </w:r>
      <w:r w:rsidR="3E8E670D">
        <w:rPr>
          <w:rFonts w:ascii="Calibri" w:hAnsi="Calibri" w:cs="Calibri"/>
          <w:b/>
          <w:bCs/>
          <w:spacing w:val="1"/>
          <w:sz w:val="24"/>
          <w:szCs w:val="24"/>
        </w:rPr>
        <w:t>ECOP FOR E-</w:t>
      </w:r>
      <w:r>
        <w:rPr>
          <w:rFonts w:ascii="Calibri" w:hAnsi="Calibri" w:cs="Calibri"/>
          <w:b/>
          <w:bCs/>
          <w:spacing w:val="1"/>
          <w:sz w:val="24"/>
          <w:szCs w:val="24"/>
        </w:rPr>
        <w:t xml:space="preserve">WASTE MANAGEMENT </w:t>
      </w:r>
    </w:p>
    <w:p w14:paraId="3494A5B7" w14:textId="77777777" w:rsidR="00E02A51" w:rsidRDefault="00E02A51" w:rsidP="00E02A51">
      <w:pPr>
        <w:tabs>
          <w:tab w:val="left" w:pos="720"/>
        </w:tabs>
        <w:kinsoku w:val="0"/>
        <w:overflowPunct w:val="0"/>
        <w:autoSpaceDE w:val="0"/>
        <w:autoSpaceDN w:val="0"/>
        <w:adjustRightInd w:val="0"/>
        <w:spacing w:before="120" w:after="120" w:line="240" w:lineRule="auto"/>
        <w:ind w:right="29"/>
        <w:jc w:val="both"/>
        <w:rPr>
          <w:rFonts w:ascii="Calibri" w:hAnsi="Calibri" w:cs="Calibri"/>
          <w:b/>
          <w:bCs/>
          <w:spacing w:val="1"/>
          <w:sz w:val="24"/>
          <w:szCs w:val="24"/>
        </w:rPr>
      </w:pPr>
    </w:p>
    <w:p w14:paraId="149F7CD4" w14:textId="49527953" w:rsidR="00873186" w:rsidRPr="00873186" w:rsidRDefault="0D99C4D2" w:rsidP="00E02A51">
      <w:pPr>
        <w:pStyle w:val="ListParagraph"/>
        <w:tabs>
          <w:tab w:val="left" w:pos="720"/>
          <w:tab w:val="left" w:pos="810"/>
        </w:tabs>
        <w:kinsoku w:val="0"/>
        <w:overflowPunct w:val="0"/>
        <w:spacing w:before="120" w:after="120"/>
        <w:ind w:left="0" w:right="30" w:firstLine="0"/>
        <w:jc w:val="both"/>
      </w:pPr>
      <w:r>
        <w:t>Electrical and electronic equipment waste are classified as hazardous waste in accordance with government regulations due to the presence of hazardous components in the equipment, and that waste is not sorted.</w:t>
      </w:r>
      <w:r w:rsidRPr="7B4010DD">
        <w:rPr>
          <w:rFonts w:cstheme="minorBidi"/>
        </w:rPr>
        <w:t xml:space="preserve"> </w:t>
      </w:r>
    </w:p>
    <w:p w14:paraId="5E6849D4" w14:textId="2479EBAD" w:rsidR="00873186" w:rsidRPr="00873186" w:rsidRDefault="285AADB0" w:rsidP="00E02A51">
      <w:pPr>
        <w:tabs>
          <w:tab w:val="left" w:pos="1800"/>
          <w:tab w:val="left" w:pos="1890"/>
        </w:tabs>
        <w:kinsoku w:val="0"/>
        <w:overflowPunct w:val="0"/>
        <w:autoSpaceDE w:val="0"/>
        <w:autoSpaceDN w:val="0"/>
        <w:adjustRightInd w:val="0"/>
        <w:spacing w:before="120" w:after="120" w:line="240" w:lineRule="auto"/>
        <w:ind w:right="29"/>
        <w:jc w:val="both"/>
        <w:rPr>
          <w:rFonts w:ascii="Calibri" w:hAnsi="Calibri" w:cs="Calibri"/>
          <w:b/>
          <w:bCs/>
          <w:spacing w:val="1"/>
          <w:sz w:val="24"/>
          <w:szCs w:val="24"/>
        </w:rPr>
      </w:pPr>
      <w:r w:rsidRPr="002746B5">
        <w:rPr>
          <w:sz w:val="24"/>
          <w:szCs w:val="24"/>
        </w:rPr>
        <w:t>Cambodia has no specific law</w:t>
      </w:r>
      <w:r w:rsidRPr="7B4010DD">
        <w:rPr>
          <w:sz w:val="24"/>
          <w:szCs w:val="24"/>
        </w:rPr>
        <w:t>s</w:t>
      </w:r>
      <w:r w:rsidRPr="002746B5">
        <w:rPr>
          <w:sz w:val="24"/>
          <w:szCs w:val="24"/>
        </w:rPr>
        <w:t xml:space="preserve"> related to E-waste Management, but some regulation</w:t>
      </w:r>
      <w:r w:rsidRPr="7B4010DD">
        <w:rPr>
          <w:sz w:val="24"/>
          <w:szCs w:val="24"/>
        </w:rPr>
        <w:t>s exist around</w:t>
      </w:r>
      <w:r w:rsidRPr="002746B5">
        <w:rPr>
          <w:sz w:val="24"/>
          <w:szCs w:val="24"/>
        </w:rPr>
        <w:t xml:space="preserve"> control, monitoring the activities, which impact human health and </w:t>
      </w:r>
      <w:r w:rsidRPr="7B4010DD">
        <w:rPr>
          <w:sz w:val="24"/>
          <w:szCs w:val="24"/>
        </w:rPr>
        <w:t xml:space="preserve">the </w:t>
      </w:r>
      <w:r w:rsidRPr="002746B5">
        <w:rPr>
          <w:sz w:val="24"/>
          <w:szCs w:val="24"/>
        </w:rPr>
        <w:t>environment. The regulation</w:t>
      </w:r>
      <w:r w:rsidRPr="7B4010DD">
        <w:rPr>
          <w:sz w:val="24"/>
          <w:szCs w:val="24"/>
        </w:rPr>
        <w:t>s</w:t>
      </w:r>
      <w:r w:rsidRPr="002746B5">
        <w:rPr>
          <w:sz w:val="24"/>
          <w:szCs w:val="24"/>
        </w:rPr>
        <w:t xml:space="preserve"> concerning e-waste management </w:t>
      </w:r>
      <w:r w:rsidRPr="7B4010DD">
        <w:rPr>
          <w:sz w:val="24"/>
          <w:szCs w:val="24"/>
        </w:rPr>
        <w:t>are in Law on Environmental Protection and National Resource Management,</w:t>
      </w:r>
      <w:r w:rsidRPr="002746B5">
        <w:rPr>
          <w:sz w:val="24"/>
          <w:szCs w:val="24"/>
        </w:rPr>
        <w:t xml:space="preserve"> adopted by national assembly on 24 December 1996</w:t>
      </w:r>
      <w:r w:rsidRPr="7B4010DD">
        <w:rPr>
          <w:sz w:val="24"/>
          <w:szCs w:val="24"/>
        </w:rPr>
        <w:t>, that</w:t>
      </w:r>
      <w:r w:rsidRPr="002746B5">
        <w:rPr>
          <w:sz w:val="24"/>
          <w:szCs w:val="24"/>
        </w:rPr>
        <w:t xml:space="preserve"> stipulated that “the prevention, reduction, control of airspace, water and land pollution, noise and vibration disturbances as well as waste, toxic substances and hazardous substances, shall be determined by sub-decree following a proposal of the </w:t>
      </w:r>
      <w:r w:rsidRPr="7B4010DD">
        <w:rPr>
          <w:sz w:val="24"/>
          <w:szCs w:val="24"/>
        </w:rPr>
        <w:t>M</w:t>
      </w:r>
      <w:r w:rsidRPr="002746B5">
        <w:rPr>
          <w:sz w:val="24"/>
          <w:szCs w:val="24"/>
        </w:rPr>
        <w:t xml:space="preserve">inistry of Environment in Article 13, chapter 5 of this law. </w:t>
      </w:r>
    </w:p>
    <w:p w14:paraId="31FB8C5F" w14:textId="08B376FD" w:rsidR="00873186" w:rsidRPr="00873186" w:rsidRDefault="285AADB0" w:rsidP="00E02A51">
      <w:pPr>
        <w:tabs>
          <w:tab w:val="left" w:pos="720"/>
        </w:tabs>
        <w:kinsoku w:val="0"/>
        <w:overflowPunct w:val="0"/>
        <w:autoSpaceDE w:val="0"/>
        <w:autoSpaceDN w:val="0"/>
        <w:adjustRightInd w:val="0"/>
        <w:spacing w:before="120" w:after="120" w:line="240" w:lineRule="auto"/>
        <w:ind w:right="29"/>
        <w:jc w:val="both"/>
        <w:rPr>
          <w:rFonts w:ascii="Calibri" w:hAnsi="Calibri" w:cs="Calibri"/>
          <w:b/>
          <w:bCs/>
          <w:spacing w:val="1"/>
          <w:sz w:val="24"/>
          <w:szCs w:val="24"/>
        </w:rPr>
      </w:pPr>
      <w:r w:rsidRPr="002746B5">
        <w:rPr>
          <w:sz w:val="24"/>
          <w:szCs w:val="24"/>
        </w:rPr>
        <w:t xml:space="preserve">Currently, Cambodia has no specific regulation for management of e-waste yet, although, </w:t>
      </w:r>
      <w:r w:rsidRPr="7B4010DD">
        <w:rPr>
          <w:sz w:val="24"/>
          <w:szCs w:val="24"/>
        </w:rPr>
        <w:t xml:space="preserve">the </w:t>
      </w:r>
      <w:r w:rsidRPr="002746B5">
        <w:rPr>
          <w:sz w:val="24"/>
          <w:szCs w:val="24"/>
        </w:rPr>
        <w:t>Ministry of Environment of Cambodia developed the guideline on the Environmentally Sound Management of Waste Electrical and Electronic Equipment (WEEE) in Cambodia. This guideline was developed under the project proposal, namely “The Preparation of Guideline to manage on Waste electrical and electronic Equipment in Cambodia” that supported by Ministry of Environment Korea. This guideline aims to maintain and protect the environment and human health which may be harmful by unsound management and disposal of WEEE, as well as to achieve the initiative of resources recovery that is the crucial part of integrated waste management, or sustainable solid waste management. The principles of this guideline target to manage electronic and electric equipment and related waste (e-waste) should be governed by the following: Reuse e-wastes as possible prior to disposal</w:t>
      </w:r>
      <w:r w:rsidRPr="7B4010DD">
        <w:rPr>
          <w:sz w:val="24"/>
          <w:szCs w:val="24"/>
        </w:rPr>
        <w:t>.</w:t>
      </w:r>
      <w:r w:rsidRPr="002746B5">
        <w:rPr>
          <w:sz w:val="24"/>
          <w:szCs w:val="24"/>
        </w:rPr>
        <w:t xml:space="preserve"> Reduce e-wastes and the like at various generating sources, e.g.</w:t>
      </w:r>
      <w:r w:rsidR="18D487B6" w:rsidRPr="7B4010DD">
        <w:rPr>
          <w:sz w:val="24"/>
          <w:szCs w:val="24"/>
        </w:rPr>
        <w:t>,</w:t>
      </w:r>
      <w:r w:rsidRPr="002746B5">
        <w:rPr>
          <w:sz w:val="24"/>
          <w:szCs w:val="24"/>
        </w:rPr>
        <w:t xml:space="preserve"> households, selling shops, repairing and dismantling shops, etc. Recycle e-wastes as possible prior to disposal based on the view of “Waste is the Money”</w:t>
      </w:r>
      <w:r w:rsidRPr="7B4010DD">
        <w:rPr>
          <w:sz w:val="24"/>
          <w:szCs w:val="24"/>
        </w:rPr>
        <w:t>.</w:t>
      </w:r>
      <w:r w:rsidRPr="002746B5">
        <w:rPr>
          <w:sz w:val="24"/>
          <w:szCs w:val="24"/>
        </w:rPr>
        <w:t xml:space="preserve"> Repair electronic and electric equipment for reusing rather than keep</w:t>
      </w:r>
      <w:r w:rsidR="18D487B6" w:rsidRPr="7B4010DD">
        <w:rPr>
          <w:sz w:val="24"/>
          <w:szCs w:val="24"/>
        </w:rPr>
        <w:t>i</w:t>
      </w:r>
      <w:r w:rsidRPr="7B4010DD">
        <w:rPr>
          <w:sz w:val="24"/>
          <w:szCs w:val="24"/>
        </w:rPr>
        <w:t>ng</w:t>
      </w:r>
      <w:r w:rsidRPr="002746B5">
        <w:rPr>
          <w:sz w:val="24"/>
          <w:szCs w:val="24"/>
        </w:rPr>
        <w:t xml:space="preserve"> or throw it away</w:t>
      </w:r>
      <w:r w:rsidRPr="7B4010DD">
        <w:rPr>
          <w:sz w:val="24"/>
          <w:szCs w:val="24"/>
        </w:rPr>
        <w:t>.</w:t>
      </w:r>
    </w:p>
    <w:p w14:paraId="7DD743FA" w14:textId="75F87CF0" w:rsidR="008642CB" w:rsidRPr="002746B5" w:rsidRDefault="00873186" w:rsidP="00E02A51">
      <w:pPr>
        <w:pStyle w:val="Caption"/>
        <w:tabs>
          <w:tab w:val="left" w:pos="720"/>
        </w:tabs>
        <w:rPr>
          <w:rFonts w:ascii="Calibri" w:hAnsi="Calibri" w:cs="Calibri"/>
          <w:sz w:val="24"/>
          <w:szCs w:val="24"/>
        </w:rPr>
      </w:pPr>
      <w:r w:rsidRPr="00873186">
        <w:rPr>
          <w:rFonts w:ascii="Calibri" w:hAnsi="Calibri" w:cs="Calibri"/>
          <w:sz w:val="24"/>
          <w:szCs w:val="24"/>
        </w:rPr>
        <w:t xml:space="preserve">Figure </w:t>
      </w:r>
      <w:r w:rsidRPr="00873186">
        <w:rPr>
          <w:rFonts w:ascii="Calibri" w:hAnsi="Calibri" w:cs="Calibri"/>
          <w:sz w:val="24"/>
          <w:szCs w:val="24"/>
        </w:rPr>
        <w:fldChar w:fldCharType="begin"/>
      </w:r>
      <w:r w:rsidRPr="00873186">
        <w:rPr>
          <w:rFonts w:ascii="Calibri" w:hAnsi="Calibri" w:cs="Calibri"/>
          <w:sz w:val="24"/>
          <w:szCs w:val="24"/>
        </w:rPr>
        <w:instrText xml:space="preserve"> SEQ Figure \* ARABIC </w:instrText>
      </w:r>
      <w:r w:rsidRPr="00873186">
        <w:rPr>
          <w:rFonts w:ascii="Calibri" w:hAnsi="Calibri" w:cs="Calibri"/>
          <w:sz w:val="24"/>
          <w:szCs w:val="24"/>
        </w:rPr>
        <w:fldChar w:fldCharType="separate"/>
      </w:r>
      <w:r w:rsidR="000E600F">
        <w:rPr>
          <w:rFonts w:ascii="Calibri" w:hAnsi="Calibri" w:cs="Calibri"/>
          <w:noProof/>
          <w:sz w:val="24"/>
          <w:szCs w:val="24"/>
        </w:rPr>
        <w:t>1</w:t>
      </w:r>
      <w:r w:rsidRPr="00873186">
        <w:rPr>
          <w:rFonts w:ascii="Calibri" w:hAnsi="Calibri" w:cs="Calibri"/>
          <w:sz w:val="24"/>
          <w:szCs w:val="24"/>
        </w:rPr>
        <w:fldChar w:fldCharType="end"/>
      </w:r>
      <w:r w:rsidRPr="00873186">
        <w:rPr>
          <w:rFonts w:ascii="Calibri" w:hAnsi="Calibri" w:cs="Calibri"/>
          <w:sz w:val="24"/>
          <w:szCs w:val="24"/>
          <w:lang w:val="en-US"/>
        </w:rPr>
        <w:t xml:space="preserve">: </w:t>
      </w:r>
      <w:r w:rsidR="008642CB" w:rsidRPr="002746B5">
        <w:rPr>
          <w:rFonts w:ascii="Calibri" w:hAnsi="Calibri" w:cs="Calibri"/>
          <w:sz w:val="24"/>
          <w:szCs w:val="24"/>
        </w:rPr>
        <w:t>Current E-waste Management in Cambodia</w:t>
      </w:r>
    </w:p>
    <w:p w14:paraId="4657C2EF" w14:textId="77777777" w:rsidR="008642CB" w:rsidRPr="00873186" w:rsidRDefault="008642CB" w:rsidP="00E02A51">
      <w:pPr>
        <w:pStyle w:val="ListParagraph"/>
        <w:tabs>
          <w:tab w:val="left" w:pos="720"/>
          <w:tab w:val="left" w:pos="810"/>
        </w:tabs>
        <w:kinsoku w:val="0"/>
        <w:overflowPunct w:val="0"/>
        <w:ind w:left="360" w:right="30" w:firstLine="0"/>
        <w:jc w:val="both"/>
      </w:pPr>
    </w:p>
    <w:p w14:paraId="2FDE2111" w14:textId="77777777" w:rsidR="008642CB" w:rsidRPr="002746B5" w:rsidRDefault="008642CB" w:rsidP="00A71CAC">
      <w:pPr>
        <w:pStyle w:val="ListParagraph"/>
        <w:tabs>
          <w:tab w:val="left" w:pos="720"/>
          <w:tab w:val="left" w:pos="810"/>
          <w:tab w:val="left" w:pos="900"/>
        </w:tabs>
        <w:kinsoku w:val="0"/>
        <w:overflowPunct w:val="0"/>
        <w:ind w:left="-90" w:right="30" w:firstLine="0"/>
        <w:jc w:val="center"/>
        <w:rPr>
          <w:rFonts w:asciiTheme="minorHAnsi" w:hAnsiTheme="minorHAnsi" w:cstheme="minorHAnsi"/>
        </w:rPr>
      </w:pPr>
      <w:r w:rsidRPr="002746B5">
        <w:rPr>
          <w:rFonts w:asciiTheme="minorHAnsi" w:hAnsiTheme="minorHAnsi" w:cstheme="minorHAnsi"/>
          <w:noProof/>
        </w:rPr>
        <w:drawing>
          <wp:inline distT="0" distB="0" distL="0" distR="0" wp14:anchorId="095BF25A" wp14:editId="1DC39982">
            <wp:extent cx="5946606" cy="18492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18253"/>
                    <a:stretch/>
                  </pic:blipFill>
                  <pic:spPr bwMode="auto">
                    <a:xfrm>
                      <a:off x="0" y="0"/>
                      <a:ext cx="6007039" cy="1868065"/>
                    </a:xfrm>
                    <a:prstGeom prst="rect">
                      <a:avLst/>
                    </a:prstGeom>
                    <a:noFill/>
                    <a:ln>
                      <a:noFill/>
                    </a:ln>
                    <a:extLst>
                      <a:ext uri="{53640926-AAD7-44D8-BBD7-CCE9431645EC}">
                        <a14:shadowObscured xmlns:a14="http://schemas.microsoft.com/office/drawing/2010/main"/>
                      </a:ext>
                    </a:extLst>
                  </pic:spPr>
                </pic:pic>
              </a:graphicData>
            </a:graphic>
          </wp:inline>
        </w:drawing>
      </w:r>
    </w:p>
    <w:p w14:paraId="6BF2FD99" w14:textId="3F801787" w:rsidR="008642CB" w:rsidRPr="002746B5" w:rsidRDefault="008642CB" w:rsidP="00A71CAC">
      <w:pPr>
        <w:pStyle w:val="ListParagraph"/>
        <w:tabs>
          <w:tab w:val="left" w:pos="810"/>
          <w:tab w:val="left" w:pos="1080"/>
        </w:tabs>
        <w:kinsoku w:val="0"/>
        <w:overflowPunct w:val="0"/>
        <w:ind w:left="0" w:right="30" w:firstLine="0"/>
        <w:jc w:val="both"/>
        <w:rPr>
          <w:rFonts w:asciiTheme="minorHAnsi" w:hAnsiTheme="minorHAnsi" w:cstheme="minorHAnsi"/>
          <w:sz w:val="20"/>
          <w:szCs w:val="20"/>
        </w:rPr>
      </w:pPr>
      <w:r w:rsidRPr="002746B5">
        <w:rPr>
          <w:rFonts w:asciiTheme="minorHAnsi" w:hAnsiTheme="minorHAnsi" w:cstheme="minorHAnsi"/>
          <w:sz w:val="20"/>
          <w:szCs w:val="20"/>
        </w:rPr>
        <w:t>Source: Sothun, Chin.  “The Seventh International Conference on Waste Management and Technology: Situation of e-waste management in Cambodia.” Procedia Environmental Sciences (2012) 535-544</w:t>
      </w:r>
    </w:p>
    <w:p w14:paraId="28A57398" w14:textId="77777777" w:rsidR="00E02A51" w:rsidRPr="00873186" w:rsidRDefault="00E02A51" w:rsidP="00E02A51">
      <w:pPr>
        <w:tabs>
          <w:tab w:val="left" w:pos="720"/>
        </w:tabs>
        <w:kinsoku w:val="0"/>
        <w:overflowPunct w:val="0"/>
        <w:autoSpaceDE w:val="0"/>
        <w:autoSpaceDN w:val="0"/>
        <w:adjustRightInd w:val="0"/>
        <w:spacing w:before="120" w:after="120" w:line="240" w:lineRule="auto"/>
        <w:ind w:right="29"/>
        <w:jc w:val="both"/>
        <w:rPr>
          <w:rFonts w:ascii="Calibri" w:hAnsi="Calibri" w:cs="Calibri"/>
          <w:b/>
          <w:bCs/>
          <w:spacing w:val="1"/>
          <w:sz w:val="24"/>
          <w:szCs w:val="24"/>
        </w:rPr>
      </w:pPr>
      <w:r w:rsidRPr="002746B5">
        <w:rPr>
          <w:rFonts w:cstheme="minorHAnsi"/>
          <w:sz w:val="24"/>
          <w:szCs w:val="24"/>
        </w:rPr>
        <w:t>Manage e-waste at its cycle, e.g.</w:t>
      </w:r>
      <w:r>
        <w:rPr>
          <w:rFonts w:cstheme="minorHAnsi"/>
          <w:sz w:val="24"/>
          <w:szCs w:val="24"/>
        </w:rPr>
        <w:t>,</w:t>
      </w:r>
      <w:r w:rsidRPr="002746B5">
        <w:rPr>
          <w:rFonts w:cstheme="minorHAnsi"/>
          <w:sz w:val="24"/>
          <w:szCs w:val="24"/>
        </w:rPr>
        <w:t xml:space="preserve"> generating process, storage, transportation, treatment and disposal based on the environmentally sound Identify, establish and operate a safe-dumpsite for hazardous wastes, including e-wastes at selected urban and town areas Implement in </w:t>
      </w:r>
      <w:r w:rsidRPr="002746B5">
        <w:rPr>
          <w:rFonts w:cstheme="minorHAnsi"/>
          <w:sz w:val="24"/>
          <w:szCs w:val="24"/>
        </w:rPr>
        <w:lastRenderedPageBreak/>
        <w:t>complying with national and international law, regulations, conventions, protocols, and so on.</w:t>
      </w:r>
    </w:p>
    <w:p w14:paraId="7067F44A" w14:textId="77777777" w:rsidR="00873186" w:rsidRPr="001C4D23" w:rsidRDefault="008642CB" w:rsidP="00E02A51">
      <w:pPr>
        <w:tabs>
          <w:tab w:val="left" w:pos="720"/>
        </w:tabs>
        <w:autoSpaceDE w:val="0"/>
        <w:autoSpaceDN w:val="0"/>
        <w:adjustRightInd w:val="0"/>
        <w:spacing w:before="120" w:after="120" w:line="240" w:lineRule="auto"/>
        <w:jc w:val="both"/>
        <w:rPr>
          <w:rFonts w:ascii="Calibri" w:eastAsia="TimesNewRomanPSMT" w:hAnsi="Calibri" w:cs="Calibri"/>
          <w:sz w:val="24"/>
          <w:szCs w:val="24"/>
        </w:rPr>
      </w:pPr>
      <w:r w:rsidRPr="002746B5">
        <w:rPr>
          <w:rFonts w:ascii="Calibri" w:eastAsia="TimesNewRomanPSMT" w:hAnsi="Calibri" w:cs="Calibri"/>
          <w:sz w:val="24"/>
          <w:szCs w:val="24"/>
        </w:rPr>
        <w:t>Currently, Cambodia has not policy, strategic plan and mechanism related to management of e-waste.</w:t>
      </w:r>
      <w:r w:rsidR="00873186" w:rsidRPr="001C4D23">
        <w:rPr>
          <w:rFonts w:ascii="Calibri" w:eastAsia="TimesNewRomanPSMT" w:hAnsi="Calibri" w:cs="Calibri"/>
          <w:sz w:val="24"/>
          <w:szCs w:val="24"/>
        </w:rPr>
        <w:t xml:space="preserve"> </w:t>
      </w:r>
      <w:r w:rsidRPr="002746B5">
        <w:rPr>
          <w:rFonts w:ascii="Calibri" w:eastAsia="TimesNewRomanPSMT" w:hAnsi="Calibri" w:cs="Calibri"/>
          <w:sz w:val="24"/>
          <w:szCs w:val="24"/>
        </w:rPr>
        <w:t>E-waste management activities in Cambodia depend on the practicing by formal and informal sector</w:t>
      </w:r>
      <w:r w:rsidR="00873186" w:rsidRPr="001C4D23">
        <w:rPr>
          <w:rFonts w:ascii="Calibri" w:eastAsia="TimesNewRomanPSMT" w:hAnsi="Calibri" w:cs="Calibri"/>
          <w:sz w:val="24"/>
          <w:szCs w:val="24"/>
        </w:rPr>
        <w:t xml:space="preserve"> </w:t>
      </w:r>
      <w:r w:rsidRPr="002746B5">
        <w:rPr>
          <w:rFonts w:ascii="Calibri" w:eastAsia="TimesNewRomanPSMT" w:hAnsi="Calibri" w:cs="Calibri"/>
          <w:sz w:val="24"/>
          <w:szCs w:val="24"/>
        </w:rPr>
        <w:t>through repairing, segregation, collection, reassemble/ refurbishment and dismantling and/or recycling</w:t>
      </w:r>
      <w:r w:rsidR="00873186" w:rsidRPr="001C4D23">
        <w:rPr>
          <w:rFonts w:ascii="Calibri" w:eastAsia="TimesNewRomanPSMT" w:hAnsi="Calibri" w:cs="Calibri"/>
          <w:sz w:val="24"/>
          <w:szCs w:val="24"/>
        </w:rPr>
        <w:t xml:space="preserve"> </w:t>
      </w:r>
      <w:r w:rsidRPr="002746B5">
        <w:rPr>
          <w:rFonts w:ascii="Calibri" w:eastAsia="TimesNewRomanPSMT" w:hAnsi="Calibri" w:cs="Calibri"/>
          <w:sz w:val="24"/>
          <w:szCs w:val="24"/>
        </w:rPr>
        <w:t>and exportation of scrap-metal or recyclable materials. These informal sectors play an important role in</w:t>
      </w:r>
      <w:r w:rsidR="00873186" w:rsidRPr="001C4D23">
        <w:rPr>
          <w:rFonts w:ascii="Calibri" w:eastAsia="TimesNewRomanPSMT" w:hAnsi="Calibri" w:cs="Calibri"/>
          <w:sz w:val="24"/>
          <w:szCs w:val="24"/>
        </w:rPr>
        <w:t xml:space="preserve"> </w:t>
      </w:r>
      <w:r w:rsidRPr="002746B5">
        <w:rPr>
          <w:rFonts w:ascii="Calibri" w:eastAsia="TimesNewRomanPSMT" w:hAnsi="Calibri" w:cs="Calibri"/>
          <w:sz w:val="24"/>
          <w:szCs w:val="24"/>
        </w:rPr>
        <w:t>repairing for reuse, reassemble of a new one by using reusable part materials from dismantling for</w:t>
      </w:r>
      <w:r w:rsidR="00873186" w:rsidRPr="001C4D23">
        <w:rPr>
          <w:rFonts w:ascii="Calibri" w:eastAsia="TimesNewRomanPSMT" w:hAnsi="Calibri" w:cs="Calibri"/>
          <w:sz w:val="24"/>
          <w:szCs w:val="24"/>
        </w:rPr>
        <w:t xml:space="preserve"> </w:t>
      </w:r>
      <w:r w:rsidRPr="002746B5">
        <w:rPr>
          <w:rFonts w:ascii="Calibri" w:eastAsia="TimesNewRomanPSMT" w:hAnsi="Calibri" w:cs="Calibri"/>
          <w:sz w:val="24"/>
          <w:szCs w:val="24"/>
        </w:rPr>
        <w:t>example reassemble of TV set. Beside this, scavengers/</w:t>
      </w:r>
      <w:r w:rsidR="00873186" w:rsidRPr="001C4D23">
        <w:rPr>
          <w:rFonts w:ascii="Calibri" w:eastAsia="TimesNewRomanPSMT" w:hAnsi="Calibri" w:cs="Calibri"/>
          <w:sz w:val="24"/>
          <w:szCs w:val="24"/>
        </w:rPr>
        <w:t>middleman</w:t>
      </w:r>
      <w:r w:rsidRPr="002746B5">
        <w:rPr>
          <w:rFonts w:ascii="Calibri" w:eastAsia="TimesNewRomanPSMT" w:hAnsi="Calibri" w:cs="Calibri"/>
          <w:sz w:val="24"/>
          <w:szCs w:val="24"/>
        </w:rPr>
        <w:t xml:space="preserve"> collected e-waste from local/official</w:t>
      </w:r>
      <w:r w:rsidR="00873186" w:rsidRPr="001C4D23">
        <w:rPr>
          <w:rFonts w:ascii="Calibri" w:eastAsia="TimesNewRomanPSMT" w:hAnsi="Calibri" w:cs="Calibri"/>
          <w:sz w:val="24"/>
          <w:szCs w:val="24"/>
        </w:rPr>
        <w:t xml:space="preserve"> </w:t>
      </w:r>
      <w:r w:rsidRPr="002746B5">
        <w:rPr>
          <w:rFonts w:ascii="Calibri" w:eastAsia="TimesNewRomanPSMT" w:hAnsi="Calibri" w:cs="Calibri"/>
          <w:sz w:val="24"/>
          <w:szCs w:val="24"/>
        </w:rPr>
        <w:t>use, and then sent to repairing or junkshop. WEEE/E-waste which is un-function and/or could not repair</w:t>
      </w:r>
      <w:r w:rsidRPr="001C4D23">
        <w:rPr>
          <w:rFonts w:ascii="Calibri" w:eastAsia="TimesNewRomanPSMT" w:hAnsi="Calibri" w:cs="Calibri"/>
          <w:sz w:val="24"/>
          <w:szCs w:val="24"/>
        </w:rPr>
        <w:t xml:space="preserve"> </w:t>
      </w:r>
      <w:r w:rsidR="00873186" w:rsidRPr="001C4D23">
        <w:rPr>
          <w:rFonts w:ascii="Calibri" w:eastAsia="TimesNewRomanPSMT" w:hAnsi="Calibri" w:cs="Calibri"/>
          <w:sz w:val="24"/>
          <w:szCs w:val="24"/>
        </w:rPr>
        <w:t>have</w:t>
      </w:r>
      <w:r w:rsidRPr="002746B5">
        <w:rPr>
          <w:rFonts w:ascii="Calibri" w:eastAsia="TimesNewRomanPSMT" w:hAnsi="Calibri" w:cs="Calibri"/>
          <w:sz w:val="24"/>
          <w:szCs w:val="24"/>
        </w:rPr>
        <w:t xml:space="preserve"> been collected from selling shop, repairing shop and refurbishment activities and then sent to</w:t>
      </w:r>
      <w:r w:rsidRPr="001C4D23">
        <w:rPr>
          <w:rFonts w:ascii="Calibri" w:eastAsia="TimesNewRomanPSMT" w:hAnsi="Calibri" w:cs="Calibri"/>
          <w:sz w:val="24"/>
          <w:szCs w:val="24"/>
        </w:rPr>
        <w:t xml:space="preserve"> </w:t>
      </w:r>
      <w:r w:rsidRPr="002746B5">
        <w:rPr>
          <w:rFonts w:ascii="Calibri" w:eastAsia="TimesNewRomanPSMT" w:hAnsi="Calibri" w:cs="Calibri"/>
          <w:sz w:val="24"/>
          <w:szCs w:val="24"/>
        </w:rPr>
        <w:t>dismantling site.</w:t>
      </w:r>
    </w:p>
    <w:p w14:paraId="611B4D15" w14:textId="77777777" w:rsidR="00873186" w:rsidRPr="001C4D23" w:rsidRDefault="008642CB" w:rsidP="00E02A51">
      <w:pPr>
        <w:tabs>
          <w:tab w:val="left" w:pos="720"/>
        </w:tabs>
        <w:autoSpaceDE w:val="0"/>
        <w:autoSpaceDN w:val="0"/>
        <w:adjustRightInd w:val="0"/>
        <w:spacing w:before="120" w:after="120" w:line="240" w:lineRule="auto"/>
        <w:jc w:val="both"/>
        <w:rPr>
          <w:rFonts w:ascii="Calibri" w:eastAsia="TimesNewRomanPSMT" w:hAnsi="Calibri" w:cs="Calibri"/>
          <w:sz w:val="24"/>
          <w:szCs w:val="24"/>
        </w:rPr>
      </w:pPr>
      <w:r w:rsidRPr="002746B5">
        <w:rPr>
          <w:rFonts w:ascii="Calibri" w:eastAsia="TimesNewRomanPSMT" w:hAnsi="Calibri" w:cs="Calibri"/>
          <w:sz w:val="24"/>
          <w:szCs w:val="24"/>
        </w:rPr>
        <w:t>The dismantling site and activities practice are in the simple manual, meanwhile, they did not use</w:t>
      </w:r>
      <w:r w:rsidR="00873186" w:rsidRPr="001C4D23">
        <w:rPr>
          <w:rFonts w:ascii="Calibri" w:eastAsia="TimesNewRomanPSMT" w:hAnsi="Calibri" w:cs="Calibri"/>
          <w:sz w:val="24"/>
          <w:szCs w:val="24"/>
        </w:rPr>
        <w:t xml:space="preserve"> </w:t>
      </w:r>
      <w:r w:rsidRPr="002746B5">
        <w:rPr>
          <w:rFonts w:ascii="Calibri" w:eastAsia="TimesNewRomanPSMT" w:hAnsi="Calibri" w:cs="Calibri"/>
          <w:sz w:val="24"/>
          <w:szCs w:val="24"/>
        </w:rPr>
        <w:t>equipment and high technology for dismantle, shredding, and sort by item, in particular, did not use</w:t>
      </w:r>
      <w:r w:rsidR="00873186" w:rsidRPr="001C4D23">
        <w:rPr>
          <w:rFonts w:ascii="Calibri" w:eastAsia="TimesNewRomanPSMT" w:hAnsi="Calibri" w:cs="Calibri"/>
          <w:sz w:val="24"/>
          <w:szCs w:val="24"/>
        </w:rPr>
        <w:t xml:space="preserve"> </w:t>
      </w:r>
      <w:r w:rsidRPr="002746B5">
        <w:rPr>
          <w:rFonts w:ascii="Calibri" w:eastAsia="TimesNewRomanPSMT" w:hAnsi="Calibri" w:cs="Calibri"/>
          <w:sz w:val="24"/>
          <w:szCs w:val="24"/>
        </w:rPr>
        <w:t>protection equipment during working.</w:t>
      </w:r>
      <w:r w:rsidRPr="001C4D23">
        <w:rPr>
          <w:rFonts w:ascii="Calibri" w:eastAsia="TimesNewRomanPSMT" w:hAnsi="Calibri" w:cs="Calibri"/>
          <w:sz w:val="24"/>
          <w:szCs w:val="24"/>
        </w:rPr>
        <w:t xml:space="preserve">  </w:t>
      </w:r>
      <w:r w:rsidRPr="002746B5">
        <w:rPr>
          <w:rFonts w:ascii="Calibri" w:eastAsia="TimesNewRomanPSMT" w:hAnsi="Calibri" w:cs="Calibri"/>
          <w:sz w:val="24"/>
          <w:szCs w:val="24"/>
        </w:rPr>
        <w:t>Based on WEEE/E-Waste Management Report Phnom Penh Municipality in Kingdom of Cambodia</w:t>
      </w:r>
      <w:r w:rsidRPr="001C4D23">
        <w:rPr>
          <w:rFonts w:ascii="Calibri" w:eastAsia="TimesNewRomanPSMT" w:hAnsi="Calibri" w:cs="Calibri"/>
          <w:sz w:val="24"/>
          <w:szCs w:val="24"/>
        </w:rPr>
        <w:t xml:space="preserve"> </w:t>
      </w:r>
      <w:r w:rsidRPr="002746B5">
        <w:rPr>
          <w:rFonts w:ascii="Calibri" w:eastAsia="TimesNewRomanPSMT" w:hAnsi="Calibri" w:cs="Calibri"/>
          <w:sz w:val="24"/>
          <w:szCs w:val="24"/>
        </w:rPr>
        <w:t>2009, E-waste treatment and disposal system in Cambodia, especially in Phnom Penh capital have been</w:t>
      </w:r>
      <w:r w:rsidRPr="001C4D23">
        <w:rPr>
          <w:rFonts w:ascii="Calibri" w:eastAsia="TimesNewRomanPSMT" w:hAnsi="Calibri" w:cs="Calibri"/>
          <w:sz w:val="24"/>
          <w:szCs w:val="24"/>
        </w:rPr>
        <w:t xml:space="preserve"> </w:t>
      </w:r>
      <w:r w:rsidRPr="002746B5">
        <w:rPr>
          <w:rFonts w:ascii="Calibri" w:eastAsia="TimesNewRomanPSMT" w:hAnsi="Calibri" w:cs="Calibri"/>
          <w:sz w:val="24"/>
          <w:szCs w:val="24"/>
        </w:rPr>
        <w:t>assessed both qualitatively and quantitatively. The qualitative description includes the observed practices</w:t>
      </w:r>
      <w:r w:rsidRPr="001C4D23">
        <w:rPr>
          <w:rFonts w:ascii="Calibri" w:eastAsia="TimesNewRomanPSMT" w:hAnsi="Calibri" w:cs="Calibri"/>
          <w:sz w:val="24"/>
          <w:szCs w:val="24"/>
        </w:rPr>
        <w:t xml:space="preserve"> </w:t>
      </w:r>
      <w:r w:rsidRPr="002746B5">
        <w:rPr>
          <w:rFonts w:ascii="Calibri" w:eastAsia="TimesNewRomanPSMT" w:hAnsi="Calibri" w:cs="Calibri"/>
          <w:sz w:val="24"/>
          <w:szCs w:val="24"/>
        </w:rPr>
        <w:t>of E-waste repair/ refurbishment and dismantling being carried out in PPM. The quantitative estimation</w:t>
      </w:r>
      <w:r w:rsidRPr="001C4D23">
        <w:rPr>
          <w:rFonts w:ascii="Calibri" w:eastAsia="TimesNewRomanPSMT" w:hAnsi="Calibri" w:cs="Calibri"/>
          <w:sz w:val="24"/>
          <w:szCs w:val="24"/>
        </w:rPr>
        <w:t xml:space="preserve"> </w:t>
      </w:r>
      <w:r w:rsidRPr="002746B5">
        <w:rPr>
          <w:rFonts w:ascii="Calibri" w:eastAsia="TimesNewRomanPSMT" w:hAnsi="Calibri" w:cs="Calibri"/>
          <w:sz w:val="24"/>
          <w:szCs w:val="24"/>
        </w:rPr>
        <w:t>has been carried out based on the existing and projected volume of reusable parts, recyclable materials</w:t>
      </w:r>
      <w:r w:rsidRPr="001C4D23">
        <w:rPr>
          <w:rFonts w:ascii="Calibri" w:eastAsia="TimesNewRomanPSMT" w:hAnsi="Calibri" w:cs="Calibri"/>
          <w:sz w:val="24"/>
          <w:szCs w:val="24"/>
        </w:rPr>
        <w:t xml:space="preserve"> </w:t>
      </w:r>
      <w:r w:rsidRPr="002746B5">
        <w:rPr>
          <w:rFonts w:ascii="Calibri" w:eastAsia="TimesNewRomanPSMT" w:hAnsi="Calibri" w:cs="Calibri"/>
          <w:sz w:val="24"/>
          <w:szCs w:val="24"/>
        </w:rPr>
        <w:t>and residues.</w:t>
      </w:r>
    </w:p>
    <w:p w14:paraId="438AC3EA" w14:textId="53D0DB57" w:rsidR="008642CB" w:rsidRPr="001C4D23" w:rsidRDefault="008642CB" w:rsidP="00E02A51">
      <w:pPr>
        <w:tabs>
          <w:tab w:val="left" w:pos="720"/>
        </w:tabs>
        <w:autoSpaceDE w:val="0"/>
        <w:autoSpaceDN w:val="0"/>
        <w:adjustRightInd w:val="0"/>
        <w:spacing w:before="120" w:after="120" w:line="240" w:lineRule="auto"/>
        <w:jc w:val="both"/>
        <w:rPr>
          <w:rFonts w:ascii="Calibri" w:eastAsia="TimesNewRomanPSMT" w:hAnsi="Calibri" w:cs="Calibri"/>
          <w:sz w:val="24"/>
          <w:szCs w:val="24"/>
        </w:rPr>
      </w:pPr>
      <w:r w:rsidRPr="002746B5">
        <w:rPr>
          <w:rFonts w:ascii="Calibri" w:eastAsia="TimesNewRomanPSMT" w:hAnsi="Calibri" w:cs="Calibri"/>
          <w:sz w:val="24"/>
          <w:szCs w:val="24"/>
        </w:rPr>
        <w:t>The estimated of reusable part, recyclable materials and residues generated in 2009 and 2019 has been</w:t>
      </w:r>
      <w:r w:rsidR="00873186" w:rsidRPr="001C4D23">
        <w:rPr>
          <w:rFonts w:ascii="Calibri" w:eastAsia="TimesNewRomanPSMT" w:hAnsi="Calibri" w:cs="Calibri"/>
          <w:sz w:val="24"/>
          <w:szCs w:val="24"/>
        </w:rPr>
        <w:t xml:space="preserve"> </w:t>
      </w:r>
      <w:r w:rsidRPr="002746B5">
        <w:rPr>
          <w:rFonts w:ascii="Calibri" w:eastAsia="TimesNewRomanPSMT" w:hAnsi="Calibri" w:cs="Calibri"/>
          <w:sz w:val="24"/>
          <w:szCs w:val="24"/>
        </w:rPr>
        <w:t>carried out based on the inventory estimates, outcome of the field work carried out during 2009 and CEA</w:t>
      </w:r>
      <w:r w:rsidRPr="001C4D23">
        <w:rPr>
          <w:rFonts w:ascii="Calibri" w:eastAsia="TimesNewRomanPSMT" w:hAnsi="Calibri" w:cs="Calibri"/>
          <w:sz w:val="24"/>
          <w:szCs w:val="24"/>
        </w:rPr>
        <w:t xml:space="preserve"> </w:t>
      </w:r>
      <w:r w:rsidRPr="002746B5">
        <w:rPr>
          <w:rFonts w:ascii="Calibri" w:eastAsia="TimesNewRomanPSMT" w:hAnsi="Calibri" w:cs="Calibri"/>
          <w:sz w:val="24"/>
          <w:szCs w:val="24"/>
        </w:rPr>
        <w:t>estimates for the year 2006-07. The average estimates of reusable parts, recyclable materials and residues</w:t>
      </w:r>
      <w:r w:rsidRPr="001C4D23">
        <w:rPr>
          <w:rFonts w:ascii="Calibri" w:eastAsia="TimesNewRomanPSMT" w:hAnsi="Calibri" w:cs="Calibri"/>
          <w:sz w:val="24"/>
          <w:szCs w:val="24"/>
        </w:rPr>
        <w:t xml:space="preserve"> </w:t>
      </w:r>
      <w:r w:rsidRPr="002746B5">
        <w:rPr>
          <w:rFonts w:ascii="Calibri" w:eastAsia="TimesNewRomanPSMT" w:hAnsi="Calibri" w:cs="Calibri"/>
          <w:sz w:val="24"/>
          <w:szCs w:val="24"/>
        </w:rPr>
        <w:t xml:space="preserve">generated have been described in </w:t>
      </w:r>
    </w:p>
    <w:p w14:paraId="0E7B7824" w14:textId="0FD6F87A" w:rsidR="00873186" w:rsidRDefault="001C4D23" w:rsidP="00E02A51">
      <w:pPr>
        <w:pStyle w:val="Caption"/>
        <w:tabs>
          <w:tab w:val="left" w:pos="720"/>
        </w:tabs>
        <w:spacing w:before="120"/>
        <w:ind w:left="720"/>
        <w:rPr>
          <w:rFonts w:ascii="Calibri" w:hAnsi="Calibri" w:cs="Calibri"/>
          <w:sz w:val="24"/>
          <w:szCs w:val="24"/>
          <w:lang w:val="en-US"/>
        </w:rPr>
      </w:pPr>
      <w:r w:rsidRPr="001C4D23">
        <w:rPr>
          <w:rFonts w:ascii="Calibri" w:hAnsi="Calibri" w:cs="Calibri"/>
          <w:sz w:val="24"/>
          <w:szCs w:val="24"/>
        </w:rPr>
        <w:t xml:space="preserve">Table </w:t>
      </w:r>
      <w:r w:rsidRPr="001C4D23">
        <w:rPr>
          <w:rFonts w:ascii="Calibri" w:hAnsi="Calibri" w:cs="Calibri"/>
          <w:sz w:val="24"/>
          <w:szCs w:val="24"/>
        </w:rPr>
        <w:fldChar w:fldCharType="begin"/>
      </w:r>
      <w:r w:rsidRPr="001C4D23">
        <w:rPr>
          <w:rFonts w:ascii="Calibri" w:hAnsi="Calibri" w:cs="Calibri"/>
          <w:sz w:val="24"/>
          <w:szCs w:val="24"/>
        </w:rPr>
        <w:instrText xml:space="preserve"> SEQ Table \* ARABIC </w:instrText>
      </w:r>
      <w:r w:rsidRPr="001C4D23">
        <w:rPr>
          <w:rFonts w:ascii="Calibri" w:hAnsi="Calibri" w:cs="Calibri"/>
          <w:sz w:val="24"/>
          <w:szCs w:val="24"/>
        </w:rPr>
        <w:fldChar w:fldCharType="separate"/>
      </w:r>
      <w:r w:rsidR="000E600F">
        <w:rPr>
          <w:rFonts w:ascii="Calibri" w:hAnsi="Calibri" w:cs="Calibri"/>
          <w:noProof/>
          <w:sz w:val="24"/>
          <w:szCs w:val="24"/>
        </w:rPr>
        <w:t>3</w:t>
      </w:r>
      <w:r w:rsidRPr="001C4D23">
        <w:rPr>
          <w:rFonts w:ascii="Calibri" w:hAnsi="Calibri" w:cs="Calibri"/>
          <w:sz w:val="24"/>
          <w:szCs w:val="24"/>
        </w:rPr>
        <w:fldChar w:fldCharType="end"/>
      </w:r>
      <w:r w:rsidRPr="001C4D23">
        <w:rPr>
          <w:rFonts w:ascii="Calibri" w:hAnsi="Calibri" w:cs="Calibri"/>
          <w:sz w:val="24"/>
          <w:szCs w:val="24"/>
          <w:lang w:val="en-US"/>
        </w:rPr>
        <w:t>: Percentage E-waste Fractions Generated during Repair/Refurbishment and Dismantling</w:t>
      </w:r>
    </w:p>
    <w:p w14:paraId="1071E58A" w14:textId="60BB4AB2" w:rsidR="008642CB" w:rsidRPr="002746B5" w:rsidRDefault="004233F6" w:rsidP="00E02A51">
      <w:pPr>
        <w:tabs>
          <w:tab w:val="left" w:pos="1260"/>
          <w:tab w:val="left" w:pos="1440"/>
        </w:tabs>
        <w:ind w:left="-90"/>
        <w:jc w:val="center"/>
        <w:rPr>
          <w:lang w:eastAsia="x-none"/>
        </w:rPr>
      </w:pPr>
      <w:r>
        <w:rPr>
          <w:noProof/>
        </w:rPr>
        <w:drawing>
          <wp:inline distT="0" distB="0" distL="0" distR="0" wp14:anchorId="46739F2B" wp14:editId="2FCF248E">
            <wp:extent cx="5457705" cy="14100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6637" cy="1471773"/>
                    </a:xfrm>
                    <a:prstGeom prst="rect">
                      <a:avLst/>
                    </a:prstGeom>
                  </pic:spPr>
                </pic:pic>
              </a:graphicData>
            </a:graphic>
          </wp:inline>
        </w:drawing>
      </w:r>
    </w:p>
    <w:p w14:paraId="7E15BBB5" w14:textId="7281E2E7" w:rsidR="008642CB" w:rsidRPr="002746B5" w:rsidRDefault="008642CB" w:rsidP="00E02A51">
      <w:pPr>
        <w:pStyle w:val="ListParagraph"/>
        <w:tabs>
          <w:tab w:val="left" w:pos="810"/>
          <w:tab w:val="left" w:pos="1260"/>
        </w:tabs>
        <w:kinsoku w:val="0"/>
        <w:overflowPunct w:val="0"/>
        <w:ind w:left="0" w:right="30" w:firstLine="0"/>
        <w:jc w:val="both"/>
        <w:rPr>
          <w:rFonts w:asciiTheme="minorHAnsi" w:hAnsiTheme="minorHAnsi" w:cstheme="minorHAnsi"/>
          <w:sz w:val="20"/>
          <w:szCs w:val="20"/>
        </w:rPr>
      </w:pPr>
      <w:r w:rsidRPr="002746B5">
        <w:rPr>
          <w:rFonts w:asciiTheme="minorHAnsi" w:hAnsiTheme="minorHAnsi" w:cstheme="minorHAnsi"/>
          <w:sz w:val="20"/>
          <w:szCs w:val="20"/>
        </w:rPr>
        <w:t>Source: Source: Sothun, Chin.  “The Seventh International Conference on Waste Management and Technology: Situation of e-waste management in Cambodia.” Procedia Environmental Sciences (2012) 535-544</w:t>
      </w:r>
    </w:p>
    <w:p w14:paraId="4D637720" w14:textId="639104E2" w:rsidR="008642CB" w:rsidRPr="002746B5" w:rsidRDefault="285AADB0" w:rsidP="00E02A51">
      <w:pPr>
        <w:tabs>
          <w:tab w:val="left" w:pos="720"/>
        </w:tabs>
        <w:autoSpaceDE w:val="0"/>
        <w:autoSpaceDN w:val="0"/>
        <w:adjustRightInd w:val="0"/>
        <w:spacing w:before="120" w:after="120" w:line="240" w:lineRule="auto"/>
        <w:jc w:val="both"/>
        <w:rPr>
          <w:rFonts w:ascii="Calibri" w:eastAsia="TimesNewRomanPSMT" w:hAnsi="Calibri" w:cs="Calibri"/>
          <w:sz w:val="24"/>
          <w:szCs w:val="24"/>
        </w:rPr>
      </w:pPr>
      <w:r w:rsidRPr="002746B5">
        <w:rPr>
          <w:rFonts w:ascii="Calibri" w:eastAsia="TimesNewRomanPSMT" w:hAnsi="Calibri" w:cs="Calibri"/>
          <w:sz w:val="24"/>
          <w:szCs w:val="24"/>
        </w:rPr>
        <w:t xml:space="preserve">The residue of E-waste focus on the kinds of waste/WEEE </w:t>
      </w:r>
      <w:r w:rsidR="13364D58" w:rsidRPr="7B4010DD">
        <w:rPr>
          <w:rFonts w:ascii="Calibri" w:eastAsia="TimesNewRomanPSMT" w:hAnsi="Calibri" w:cs="Calibri"/>
          <w:sz w:val="24"/>
          <w:szCs w:val="24"/>
        </w:rPr>
        <w:t xml:space="preserve">that </w:t>
      </w:r>
      <w:r w:rsidRPr="002746B5">
        <w:rPr>
          <w:rFonts w:ascii="Calibri" w:eastAsia="TimesNewRomanPSMT" w:hAnsi="Calibri" w:cs="Calibri"/>
          <w:sz w:val="24"/>
          <w:szCs w:val="24"/>
        </w:rPr>
        <w:t>could not reusable and recyclable, which</w:t>
      </w:r>
      <w:r w:rsidR="75ED1692" w:rsidRPr="7B4010DD">
        <w:rPr>
          <w:rFonts w:ascii="Calibri" w:eastAsia="TimesNewRomanPSMT" w:hAnsi="Calibri" w:cs="Calibri"/>
          <w:sz w:val="24"/>
          <w:szCs w:val="24"/>
        </w:rPr>
        <w:t xml:space="preserve"> </w:t>
      </w:r>
      <w:r w:rsidRPr="002746B5">
        <w:rPr>
          <w:rFonts w:ascii="Calibri" w:eastAsia="TimesNewRomanPSMT" w:hAnsi="Calibri" w:cs="Calibri"/>
          <w:sz w:val="24"/>
          <w:szCs w:val="24"/>
        </w:rPr>
        <w:t>are generated from various sources such as household, commercial sector, repairing shop, junk shop,</w:t>
      </w:r>
      <w:r w:rsidR="75ED1692" w:rsidRPr="7B4010DD">
        <w:rPr>
          <w:rFonts w:ascii="Calibri" w:eastAsia="TimesNewRomanPSMT" w:hAnsi="Calibri" w:cs="Calibri"/>
          <w:sz w:val="24"/>
          <w:szCs w:val="24"/>
        </w:rPr>
        <w:t xml:space="preserve"> </w:t>
      </w:r>
      <w:r w:rsidRPr="002746B5">
        <w:rPr>
          <w:rFonts w:ascii="Calibri" w:eastAsia="TimesNewRomanPSMT" w:hAnsi="Calibri" w:cs="Calibri"/>
          <w:sz w:val="24"/>
          <w:szCs w:val="24"/>
        </w:rPr>
        <w:t>reassemble shop and dismantling site. These residue wastes are being disposed with household dustbin</w:t>
      </w:r>
      <w:r w:rsidR="75ED1692" w:rsidRPr="7B4010DD">
        <w:rPr>
          <w:rFonts w:ascii="Calibri" w:eastAsia="TimesNewRomanPSMT" w:hAnsi="Calibri" w:cs="Calibri"/>
          <w:sz w:val="24"/>
          <w:szCs w:val="24"/>
        </w:rPr>
        <w:t xml:space="preserve"> </w:t>
      </w:r>
      <w:r w:rsidRPr="002746B5">
        <w:rPr>
          <w:rFonts w:ascii="Calibri" w:eastAsia="TimesNewRomanPSMT" w:hAnsi="Calibri" w:cs="Calibri"/>
          <w:sz w:val="24"/>
          <w:szCs w:val="24"/>
        </w:rPr>
        <w:t>and/or illegal disposal at public road, land- lot/free land and forest. For the e-waste disposed in household</w:t>
      </w:r>
      <w:r w:rsidRPr="7B4010DD">
        <w:rPr>
          <w:rFonts w:ascii="Calibri" w:eastAsia="TimesNewRomanPSMT" w:hAnsi="Calibri" w:cs="Calibri"/>
          <w:sz w:val="24"/>
          <w:szCs w:val="24"/>
        </w:rPr>
        <w:t xml:space="preserve"> </w:t>
      </w:r>
      <w:r w:rsidRPr="002746B5">
        <w:rPr>
          <w:rFonts w:ascii="Calibri" w:eastAsia="TimesNewRomanPSMT" w:hAnsi="Calibri" w:cs="Calibri"/>
          <w:sz w:val="24"/>
          <w:szCs w:val="24"/>
        </w:rPr>
        <w:t>dustbin, it was mixed with household waste without separation and then collected and transported directly</w:t>
      </w:r>
      <w:r w:rsidRPr="7B4010DD">
        <w:rPr>
          <w:rFonts w:ascii="Calibri" w:eastAsia="TimesNewRomanPSMT" w:hAnsi="Calibri" w:cs="Calibri"/>
          <w:sz w:val="24"/>
          <w:szCs w:val="24"/>
        </w:rPr>
        <w:t xml:space="preserve"> </w:t>
      </w:r>
      <w:r w:rsidRPr="002746B5">
        <w:rPr>
          <w:rFonts w:ascii="Calibri" w:eastAsia="TimesNewRomanPSMT" w:hAnsi="Calibri" w:cs="Calibri"/>
          <w:sz w:val="24"/>
          <w:szCs w:val="24"/>
        </w:rPr>
        <w:t>to dumping site of the cities.</w:t>
      </w:r>
    </w:p>
    <w:p w14:paraId="4F9B8F85" w14:textId="77777777" w:rsidR="0043154C" w:rsidRDefault="008642CB" w:rsidP="00E02A51">
      <w:pPr>
        <w:tabs>
          <w:tab w:val="left" w:pos="720"/>
        </w:tabs>
        <w:autoSpaceDE w:val="0"/>
        <w:autoSpaceDN w:val="0"/>
        <w:adjustRightInd w:val="0"/>
        <w:spacing w:before="120" w:after="120" w:line="240" w:lineRule="auto"/>
        <w:jc w:val="both"/>
        <w:rPr>
          <w:rFonts w:ascii="Calibri" w:eastAsia="TimesNewRomanPSMT" w:hAnsi="Calibri" w:cs="Calibri"/>
          <w:sz w:val="24"/>
          <w:szCs w:val="24"/>
        </w:rPr>
      </w:pPr>
      <w:r w:rsidRPr="002746B5">
        <w:rPr>
          <w:rFonts w:ascii="Calibri" w:eastAsia="TimesNewRomanPSMT" w:hAnsi="Calibri" w:cs="Calibri"/>
          <w:sz w:val="24"/>
          <w:szCs w:val="24"/>
        </w:rPr>
        <w:lastRenderedPageBreak/>
        <w:t>According to the interim report of the project on the preparation of guideline to manage on waste</w:t>
      </w:r>
      <w:r w:rsidR="0043154C">
        <w:rPr>
          <w:rFonts w:ascii="Calibri" w:eastAsia="TimesNewRomanPSMT" w:hAnsi="Calibri" w:cs="Calibri"/>
          <w:sz w:val="24"/>
          <w:szCs w:val="24"/>
        </w:rPr>
        <w:t xml:space="preserve"> </w:t>
      </w:r>
      <w:r w:rsidRPr="002746B5">
        <w:rPr>
          <w:rFonts w:ascii="Calibri" w:eastAsia="TimesNewRomanPSMT" w:hAnsi="Calibri" w:cs="Calibri"/>
          <w:sz w:val="24"/>
          <w:szCs w:val="24"/>
        </w:rPr>
        <w:t>electrical and electronic equipment in Cambodia, it has identified the E-waste directly and indirectly</w:t>
      </w:r>
      <w:r w:rsidR="0043154C">
        <w:rPr>
          <w:rFonts w:ascii="Calibri" w:eastAsia="TimesNewRomanPSMT" w:hAnsi="Calibri" w:cs="Calibri"/>
          <w:sz w:val="24"/>
          <w:szCs w:val="24"/>
        </w:rPr>
        <w:t xml:space="preserve"> </w:t>
      </w:r>
      <w:r w:rsidRPr="002746B5">
        <w:rPr>
          <w:rFonts w:ascii="Calibri" w:eastAsia="TimesNewRomanPSMT" w:hAnsi="Calibri" w:cs="Calibri"/>
          <w:sz w:val="24"/>
          <w:szCs w:val="24"/>
        </w:rPr>
        <w:t>impact to the human health and environment as detail</w:t>
      </w:r>
      <w:r w:rsidRPr="004233F6">
        <w:rPr>
          <w:rFonts w:ascii="Calibri" w:eastAsia="TimesNewRomanPSMT" w:hAnsi="Calibri" w:cs="Calibri"/>
          <w:sz w:val="24"/>
          <w:szCs w:val="24"/>
        </w:rPr>
        <w:t>ed</w:t>
      </w:r>
      <w:r w:rsidRPr="002746B5">
        <w:rPr>
          <w:rFonts w:ascii="Calibri" w:eastAsia="TimesNewRomanPSMT" w:hAnsi="Calibri" w:cs="Calibri"/>
          <w:sz w:val="24"/>
          <w:szCs w:val="24"/>
        </w:rPr>
        <w:t xml:space="preserve"> below:</w:t>
      </w:r>
    </w:p>
    <w:p w14:paraId="40FC96D2" w14:textId="77777777" w:rsidR="009424BF" w:rsidRDefault="008642CB" w:rsidP="00E02A51">
      <w:pPr>
        <w:pStyle w:val="ListParagraph"/>
        <w:numPr>
          <w:ilvl w:val="0"/>
          <w:numId w:val="78"/>
        </w:numPr>
        <w:tabs>
          <w:tab w:val="left" w:pos="720"/>
        </w:tabs>
        <w:spacing w:before="120" w:after="120"/>
        <w:ind w:left="360"/>
        <w:jc w:val="both"/>
        <w:rPr>
          <w:rFonts w:eastAsia="TimesNewRomanPSMT"/>
        </w:rPr>
      </w:pPr>
      <w:r w:rsidRPr="002746B5">
        <w:rPr>
          <w:i/>
          <w:iCs/>
        </w:rPr>
        <w:t>Occupational health impact resulting from E-wastes</w:t>
      </w:r>
      <w:r w:rsidR="00EF4EEB">
        <w:rPr>
          <w:i/>
          <w:iCs/>
        </w:rPr>
        <w:t xml:space="preserve">: </w:t>
      </w:r>
      <w:r w:rsidR="00EF4EEB">
        <w:rPr>
          <w:rFonts w:eastAsia="TimesNewRomanPSMT"/>
        </w:rPr>
        <w:t>such risks</w:t>
      </w:r>
      <w:r w:rsidRPr="002746B5">
        <w:rPr>
          <w:rFonts w:eastAsia="TimesNewRomanPSMT"/>
        </w:rPr>
        <w:t xml:space="preserve"> may occur in the different stages of e-waste flow of repairing and dismantling shops, junkshops,</w:t>
      </w:r>
      <w:r w:rsidR="009424BF">
        <w:rPr>
          <w:rFonts w:eastAsia="TimesNewRomanPSMT"/>
        </w:rPr>
        <w:t xml:space="preserve"> </w:t>
      </w:r>
      <w:r w:rsidRPr="002746B5">
        <w:rPr>
          <w:rFonts w:eastAsia="TimesNewRomanPSMT"/>
        </w:rPr>
        <w:t>recycling and reassemble shops as well. The accidents at the repairing process are caused by acid</w:t>
      </w:r>
      <w:r w:rsidR="009424BF">
        <w:rPr>
          <w:rFonts w:eastAsia="TimesNewRomanPSMT"/>
        </w:rPr>
        <w:t xml:space="preserve"> </w:t>
      </w:r>
      <w:r w:rsidRPr="002746B5">
        <w:rPr>
          <w:rFonts w:eastAsia="TimesNewRomanPSMT"/>
        </w:rPr>
        <w:t>emission, and other chemical substances, including electric shocking. Additional negative aspects of</w:t>
      </w:r>
      <w:r w:rsidR="009424BF">
        <w:rPr>
          <w:rFonts w:eastAsia="TimesNewRomanPSMT"/>
        </w:rPr>
        <w:t xml:space="preserve"> </w:t>
      </w:r>
      <w:r w:rsidRPr="002746B5">
        <w:rPr>
          <w:rFonts w:eastAsia="TimesNewRomanPSMT"/>
        </w:rPr>
        <w:t>smelling, noise pollution, particles release, smoke and toxic substances are recognized from repairing and</w:t>
      </w:r>
      <w:r w:rsidRPr="009424BF">
        <w:rPr>
          <w:rFonts w:eastAsia="TimesNewRomanPSMT"/>
        </w:rPr>
        <w:t xml:space="preserve"> </w:t>
      </w:r>
      <w:r w:rsidRPr="002746B5">
        <w:rPr>
          <w:rFonts w:eastAsia="TimesNewRomanPSMT"/>
        </w:rPr>
        <w:t>dismantling shops too.</w:t>
      </w:r>
      <w:r w:rsidRPr="009424BF">
        <w:rPr>
          <w:rFonts w:eastAsia="TimesNewRomanPSMT"/>
        </w:rPr>
        <w:t xml:space="preserve">  </w:t>
      </w:r>
      <w:r w:rsidRPr="002746B5">
        <w:rPr>
          <w:rFonts w:eastAsia="TimesNewRomanPSMT"/>
        </w:rPr>
        <w:t xml:space="preserve">As an observation, workers ignore to wear the protective </w:t>
      </w:r>
      <w:r w:rsidR="009424BF" w:rsidRPr="009424BF">
        <w:rPr>
          <w:rFonts w:eastAsia="TimesNewRomanPSMT"/>
        </w:rPr>
        <w:t>equipment</w:t>
      </w:r>
      <w:r w:rsidRPr="002746B5">
        <w:rPr>
          <w:rFonts w:eastAsia="TimesNewRomanPSMT"/>
        </w:rPr>
        <w:t>. Most of these people do not</w:t>
      </w:r>
      <w:r w:rsidRPr="009424BF">
        <w:rPr>
          <w:rFonts w:eastAsia="TimesNewRomanPSMT"/>
        </w:rPr>
        <w:t xml:space="preserve"> </w:t>
      </w:r>
      <w:r w:rsidRPr="002746B5">
        <w:rPr>
          <w:rFonts w:eastAsia="TimesNewRomanPSMT"/>
        </w:rPr>
        <w:t>realize the chemical substances contain in EEE or WEEE, or they do not know the negative impacts on</w:t>
      </w:r>
      <w:r w:rsidRPr="009424BF">
        <w:rPr>
          <w:rFonts w:eastAsia="TimesNewRomanPSMT"/>
        </w:rPr>
        <w:t xml:space="preserve"> </w:t>
      </w:r>
      <w:r w:rsidRPr="002746B5">
        <w:rPr>
          <w:rFonts w:eastAsia="TimesNewRomanPSMT"/>
        </w:rPr>
        <w:t>their health.</w:t>
      </w:r>
    </w:p>
    <w:p w14:paraId="7A1E76F3" w14:textId="1CAB0EEC" w:rsidR="009424BF" w:rsidRPr="0070650A" w:rsidRDefault="431E7802" w:rsidP="00E02A51">
      <w:pPr>
        <w:pStyle w:val="ListParagraph"/>
        <w:numPr>
          <w:ilvl w:val="0"/>
          <w:numId w:val="78"/>
        </w:numPr>
        <w:tabs>
          <w:tab w:val="left" w:pos="720"/>
        </w:tabs>
        <w:spacing w:before="120" w:after="120"/>
        <w:ind w:left="360"/>
        <w:jc w:val="both"/>
        <w:rPr>
          <w:rFonts w:eastAsia="TimesNewRomanPSMT"/>
        </w:rPr>
      </w:pPr>
      <w:r w:rsidRPr="7B4010DD">
        <w:rPr>
          <w:i/>
          <w:iCs/>
        </w:rPr>
        <w:t>I</w:t>
      </w:r>
      <w:r w:rsidR="285AADB0" w:rsidRPr="002746B5">
        <w:rPr>
          <w:i/>
          <w:iCs/>
        </w:rPr>
        <w:t>mpacts</w:t>
      </w:r>
      <w:r w:rsidR="2A57942A" w:rsidRPr="7B4010DD">
        <w:rPr>
          <w:i/>
          <w:iCs/>
        </w:rPr>
        <w:t xml:space="preserve"> on environment and human health</w:t>
      </w:r>
      <w:r w:rsidR="3E8E670D" w:rsidRPr="7B4010DD">
        <w:rPr>
          <w:i/>
          <w:iCs/>
        </w:rPr>
        <w:t xml:space="preserve">: </w:t>
      </w:r>
      <w:r w:rsidR="3E8E670D" w:rsidRPr="7B4010DD">
        <w:rPr>
          <w:rFonts w:eastAsia="TimesNewRomanPSMT"/>
        </w:rPr>
        <w:t>m</w:t>
      </w:r>
      <w:r w:rsidR="285AADB0" w:rsidRPr="002746B5">
        <w:rPr>
          <w:rFonts w:eastAsia="TimesNewRomanPSMT"/>
        </w:rPr>
        <w:t>ost WEEEs are being generated by repairing and dismantling shops, and junkshops. Remarkably,</w:t>
      </w:r>
      <w:r w:rsidR="3E8E670D" w:rsidRPr="7B4010DD">
        <w:rPr>
          <w:rFonts w:eastAsia="TimesNewRomanPSMT"/>
        </w:rPr>
        <w:t xml:space="preserve"> </w:t>
      </w:r>
      <w:r w:rsidR="285AADB0" w:rsidRPr="002746B5">
        <w:rPr>
          <w:rFonts w:eastAsia="TimesNewRomanPSMT"/>
        </w:rPr>
        <w:t>some small amounts are generated by consuming sources (e.g.</w:t>
      </w:r>
      <w:r w:rsidR="3E8E670D" w:rsidRPr="7B4010DD">
        <w:rPr>
          <w:rFonts w:eastAsia="TimesNewRomanPSMT"/>
        </w:rPr>
        <w:t>,</w:t>
      </w:r>
      <w:r w:rsidR="285AADB0" w:rsidRPr="002746B5">
        <w:rPr>
          <w:rFonts w:eastAsia="TimesNewRomanPSMT"/>
        </w:rPr>
        <w:t xml:space="preserve"> households, public entities, business</w:t>
      </w:r>
      <w:r w:rsidR="3E8E670D" w:rsidRPr="7B4010DD">
        <w:rPr>
          <w:rFonts w:eastAsia="TimesNewRomanPSMT"/>
        </w:rPr>
        <w:t xml:space="preserve"> centers</w:t>
      </w:r>
      <w:r w:rsidR="285AADB0" w:rsidRPr="002746B5">
        <w:rPr>
          <w:rFonts w:eastAsia="TimesNewRomanPSMT"/>
        </w:rPr>
        <w:t>, etc.). In  short, these wastes are collected, transported and disposed at dumpsite same as</w:t>
      </w:r>
      <w:r w:rsidR="3E8E670D" w:rsidRPr="7B4010DD">
        <w:rPr>
          <w:rFonts w:eastAsia="TimesNewRomanPSMT"/>
        </w:rPr>
        <w:t xml:space="preserve"> </w:t>
      </w:r>
      <w:r w:rsidR="285AADB0" w:rsidRPr="002746B5">
        <w:rPr>
          <w:rFonts w:eastAsia="TimesNewRomanPSMT"/>
        </w:rPr>
        <w:t>household waste without separation for different hazardous waste disposal.</w:t>
      </w:r>
      <w:r w:rsidR="285AADB0" w:rsidRPr="7B4010DD">
        <w:rPr>
          <w:rFonts w:eastAsia="TimesNewRomanPSMT"/>
        </w:rPr>
        <w:t xml:space="preserve"> </w:t>
      </w:r>
      <w:r w:rsidR="3A7EADC5">
        <w:t>Improper disposal of electronic products may lead to the possibility of damaging the environment and can result to risks of cancer and developmental and neurological disorders.</w:t>
      </w:r>
      <w:r w:rsidR="285AADB0" w:rsidRPr="7B4010DD">
        <w:rPr>
          <w:rFonts w:eastAsia="TimesNewRomanPSMT"/>
        </w:rPr>
        <w:t xml:space="preserve"> </w:t>
      </w:r>
      <w:r w:rsidR="285AADB0" w:rsidRPr="002746B5">
        <w:rPr>
          <w:rFonts w:eastAsia="TimesNewRomanPSMT"/>
        </w:rPr>
        <w:t>The way of unsound disposal of WEEE is recognized to cause serious impacts and hazards to waste</w:t>
      </w:r>
      <w:r w:rsidR="285AADB0" w:rsidRPr="7B4010DD">
        <w:rPr>
          <w:rFonts w:eastAsia="TimesNewRomanPSMT"/>
        </w:rPr>
        <w:t xml:space="preserve"> </w:t>
      </w:r>
      <w:r w:rsidR="285AADB0" w:rsidRPr="002746B5">
        <w:rPr>
          <w:rFonts w:eastAsia="TimesNewRomanPSMT"/>
        </w:rPr>
        <w:t>pickers, as well as to pollute surface/ground water quality and ecosystem through the release or leakage of</w:t>
      </w:r>
      <w:r w:rsidR="285AADB0" w:rsidRPr="7B4010DD">
        <w:rPr>
          <w:rFonts w:eastAsia="TimesNewRomanPSMT"/>
        </w:rPr>
        <w:t xml:space="preserve"> </w:t>
      </w:r>
      <w:r w:rsidR="285AADB0" w:rsidRPr="002746B5">
        <w:rPr>
          <w:rFonts w:eastAsia="TimesNewRomanPSMT"/>
        </w:rPr>
        <w:t>hazardous substances into water sources. Another serious concern from unsound management of WEEE –</w:t>
      </w:r>
      <w:r w:rsidR="3E8E670D" w:rsidRPr="7B4010DD">
        <w:rPr>
          <w:rFonts w:eastAsia="TimesNewRomanPSMT"/>
        </w:rPr>
        <w:t xml:space="preserve"> </w:t>
      </w:r>
      <w:r w:rsidR="285AADB0" w:rsidRPr="002746B5">
        <w:rPr>
          <w:rFonts w:eastAsia="TimesNewRomanPSMT"/>
        </w:rPr>
        <w:t>that is the atmospheric pollution due to burning or self-firing hazardous wastes and household wastes at</w:t>
      </w:r>
      <w:r w:rsidR="285AADB0" w:rsidRPr="7B4010DD">
        <w:rPr>
          <w:rFonts w:eastAsia="TimesNewRomanPSMT"/>
        </w:rPr>
        <w:t xml:space="preserve"> </w:t>
      </w:r>
      <w:r w:rsidR="285AADB0" w:rsidRPr="002746B5">
        <w:rPr>
          <w:rFonts w:eastAsia="TimesNewRomanPSMT"/>
        </w:rPr>
        <w:t>dumpsites, which emit toxic fume/smoke into the atmosphere, and it is considered to contribute the cause</w:t>
      </w:r>
      <w:r w:rsidR="285AADB0" w:rsidRPr="7B4010DD">
        <w:rPr>
          <w:rFonts w:eastAsia="TimesNewRomanPSMT"/>
        </w:rPr>
        <w:t xml:space="preserve"> </w:t>
      </w:r>
      <w:r w:rsidR="285AADB0" w:rsidRPr="002746B5">
        <w:rPr>
          <w:rFonts w:eastAsia="TimesNewRomanPSMT"/>
        </w:rPr>
        <w:t>of acid deposition and climate change.</w:t>
      </w:r>
    </w:p>
    <w:p w14:paraId="34FF2EAC" w14:textId="77777777" w:rsidR="009424BF" w:rsidRDefault="008642CB" w:rsidP="00E02A51">
      <w:pPr>
        <w:pStyle w:val="ListParagraph"/>
        <w:tabs>
          <w:tab w:val="left" w:pos="720"/>
          <w:tab w:val="left" w:pos="1080"/>
        </w:tabs>
        <w:spacing w:before="120" w:after="120"/>
        <w:ind w:left="0" w:firstLine="0"/>
        <w:jc w:val="both"/>
        <w:rPr>
          <w:rFonts w:eastAsia="TimesNewRomanPSMT"/>
        </w:rPr>
      </w:pPr>
      <w:r w:rsidRPr="002746B5">
        <w:rPr>
          <w:rFonts w:eastAsia="TimesNewRomanPSMT"/>
        </w:rPr>
        <w:t>The increasing of E-waste and existing activities practice of the collection and transportation, repairing,</w:t>
      </w:r>
      <w:r w:rsidR="009424BF">
        <w:rPr>
          <w:rFonts w:eastAsia="TimesNewRomanPSMT"/>
        </w:rPr>
        <w:t xml:space="preserve"> </w:t>
      </w:r>
      <w:r w:rsidRPr="002746B5">
        <w:rPr>
          <w:rFonts w:eastAsia="TimesNewRomanPSMT"/>
        </w:rPr>
        <w:t>reassemble, dismantling including junkshop and recycling facility, which is using simple technology for</w:t>
      </w:r>
      <w:r w:rsidR="009424BF">
        <w:rPr>
          <w:rFonts w:eastAsia="TimesNewRomanPSMT"/>
        </w:rPr>
        <w:t xml:space="preserve"> </w:t>
      </w:r>
      <w:r w:rsidRPr="002746B5">
        <w:rPr>
          <w:rFonts w:eastAsia="TimesNewRomanPSMT"/>
        </w:rPr>
        <w:t>practice and unsound management, will be faced to main issue such as:</w:t>
      </w:r>
    </w:p>
    <w:p w14:paraId="372FB67F" w14:textId="77777777" w:rsidR="009424BF" w:rsidRDefault="008642CB" w:rsidP="00E02A51">
      <w:pPr>
        <w:pStyle w:val="ListParagraph"/>
        <w:numPr>
          <w:ilvl w:val="0"/>
          <w:numId w:val="79"/>
        </w:numPr>
        <w:tabs>
          <w:tab w:val="left" w:pos="720"/>
        </w:tabs>
        <w:spacing w:before="120" w:after="120"/>
        <w:ind w:left="360"/>
        <w:jc w:val="both"/>
        <w:rPr>
          <w:rFonts w:eastAsia="TimesNewRomanPSMT"/>
        </w:rPr>
      </w:pPr>
      <w:r w:rsidRPr="002746B5">
        <w:rPr>
          <w:rFonts w:eastAsia="TimesNewRomanPSMT"/>
        </w:rPr>
        <w:t>Cambodia has not specific law for environmentally sound management of WEEE.</w:t>
      </w:r>
    </w:p>
    <w:p w14:paraId="36198815" w14:textId="77777777" w:rsidR="009424BF" w:rsidRDefault="008642CB" w:rsidP="00E02A51">
      <w:pPr>
        <w:pStyle w:val="ListParagraph"/>
        <w:numPr>
          <w:ilvl w:val="0"/>
          <w:numId w:val="79"/>
        </w:numPr>
        <w:tabs>
          <w:tab w:val="left" w:pos="720"/>
        </w:tabs>
        <w:spacing w:before="120" w:after="120"/>
        <w:ind w:left="360"/>
        <w:jc w:val="both"/>
        <w:rPr>
          <w:rFonts w:eastAsia="TimesNewRomanPSMT"/>
        </w:rPr>
      </w:pPr>
      <w:r w:rsidRPr="002746B5">
        <w:rPr>
          <w:rFonts w:eastAsia="TimesNewRomanPSMT"/>
        </w:rPr>
        <w:t>Existing legislation lack of policy and mechanism related to WEEE management and un-ability to</w:t>
      </w:r>
      <w:r w:rsidRPr="009424BF">
        <w:rPr>
          <w:rFonts w:eastAsia="TimesNewRomanPSMT"/>
        </w:rPr>
        <w:t xml:space="preserve"> </w:t>
      </w:r>
      <w:r w:rsidRPr="002746B5">
        <w:rPr>
          <w:rFonts w:eastAsia="TimesNewRomanPSMT"/>
        </w:rPr>
        <w:t>enforcement.</w:t>
      </w:r>
    </w:p>
    <w:p w14:paraId="67331329" w14:textId="696829E8" w:rsidR="009424BF" w:rsidRDefault="008642CB" w:rsidP="00E02A51">
      <w:pPr>
        <w:pStyle w:val="ListParagraph"/>
        <w:numPr>
          <w:ilvl w:val="0"/>
          <w:numId w:val="79"/>
        </w:numPr>
        <w:tabs>
          <w:tab w:val="left" w:pos="720"/>
        </w:tabs>
        <w:spacing w:before="120" w:after="120"/>
        <w:ind w:left="360"/>
        <w:jc w:val="both"/>
        <w:rPr>
          <w:rFonts w:eastAsia="TimesNewRomanPSMT"/>
        </w:rPr>
      </w:pPr>
      <w:r w:rsidRPr="002746B5">
        <w:rPr>
          <w:rFonts w:eastAsia="TimesNewRomanPSMT"/>
        </w:rPr>
        <w:t xml:space="preserve">Importation of the second hand UEEE </w:t>
      </w:r>
      <w:r w:rsidRPr="009424BF">
        <w:rPr>
          <w:rFonts w:eastAsia="TimesNewRomanPSMT"/>
        </w:rPr>
        <w:t>with</w:t>
      </w:r>
      <w:r w:rsidRPr="002746B5">
        <w:rPr>
          <w:rFonts w:eastAsia="TimesNewRomanPSMT"/>
        </w:rPr>
        <w:t xml:space="preserve"> low quality/improper function </w:t>
      </w:r>
      <w:r w:rsidRPr="009424BF">
        <w:rPr>
          <w:rFonts w:eastAsia="TimesNewRomanPSMT"/>
        </w:rPr>
        <w:t xml:space="preserve">that </w:t>
      </w:r>
      <w:r w:rsidRPr="002746B5">
        <w:rPr>
          <w:rFonts w:eastAsia="TimesNewRomanPSMT"/>
        </w:rPr>
        <w:t>need to be either repaired or</w:t>
      </w:r>
      <w:r w:rsidRPr="009424BF">
        <w:rPr>
          <w:rFonts w:eastAsia="TimesNewRomanPSMT"/>
        </w:rPr>
        <w:t xml:space="preserve"> </w:t>
      </w:r>
      <w:r w:rsidRPr="002746B5">
        <w:rPr>
          <w:rFonts w:eastAsia="TimesNewRomanPSMT"/>
        </w:rPr>
        <w:t>dismantled.</w:t>
      </w:r>
    </w:p>
    <w:p w14:paraId="10297C6B" w14:textId="77777777" w:rsidR="009424BF" w:rsidRDefault="008642CB" w:rsidP="00E02A51">
      <w:pPr>
        <w:pStyle w:val="ListParagraph"/>
        <w:numPr>
          <w:ilvl w:val="0"/>
          <w:numId w:val="79"/>
        </w:numPr>
        <w:tabs>
          <w:tab w:val="left" w:pos="720"/>
        </w:tabs>
        <w:spacing w:before="120" w:after="120"/>
        <w:ind w:left="360"/>
        <w:jc w:val="both"/>
        <w:rPr>
          <w:rFonts w:eastAsia="TimesNewRomanPSMT"/>
        </w:rPr>
      </w:pPr>
      <w:r w:rsidRPr="002746B5">
        <w:rPr>
          <w:rFonts w:eastAsia="TimesNewRomanPSMT"/>
        </w:rPr>
        <w:t>Cooperation and Coordination among line agencies is still limited.</w:t>
      </w:r>
    </w:p>
    <w:p w14:paraId="4A3944AE" w14:textId="0B4C7B79" w:rsidR="008642CB" w:rsidRPr="002746B5" w:rsidRDefault="008642CB" w:rsidP="00E02A51">
      <w:pPr>
        <w:pStyle w:val="ListParagraph"/>
        <w:numPr>
          <w:ilvl w:val="0"/>
          <w:numId w:val="79"/>
        </w:numPr>
        <w:tabs>
          <w:tab w:val="left" w:pos="720"/>
        </w:tabs>
        <w:spacing w:before="120" w:after="120"/>
        <w:ind w:left="360"/>
        <w:jc w:val="both"/>
        <w:rPr>
          <w:rFonts w:eastAsia="TimesNewRomanPSMT"/>
        </w:rPr>
      </w:pPr>
      <w:r w:rsidRPr="002746B5">
        <w:rPr>
          <w:rFonts w:eastAsia="TimesNewRomanPSMT"/>
        </w:rPr>
        <w:t>Awareness and capacity building</w:t>
      </w:r>
      <w:r w:rsidRPr="009424BF">
        <w:rPr>
          <w:rFonts w:eastAsia="TimesNewRomanPSMT"/>
        </w:rPr>
        <w:t xml:space="preserve"> to</w:t>
      </w:r>
      <w:r w:rsidRPr="002746B5">
        <w:rPr>
          <w:rFonts w:eastAsia="TimesNewRomanPSMT"/>
        </w:rPr>
        <w:t xml:space="preserve"> deal with UEEE and its residue management is commonly limited.</w:t>
      </w:r>
    </w:p>
    <w:p w14:paraId="5394CC75" w14:textId="46395B37" w:rsidR="009424BF" w:rsidRDefault="009424BF" w:rsidP="00634DDD">
      <w:pPr>
        <w:pStyle w:val="ListParagraph"/>
        <w:tabs>
          <w:tab w:val="left" w:pos="720"/>
          <w:tab w:val="left" w:pos="810"/>
        </w:tabs>
        <w:kinsoku w:val="0"/>
        <w:overflowPunct w:val="0"/>
        <w:spacing w:before="120" w:after="120"/>
        <w:ind w:right="30"/>
        <w:jc w:val="both"/>
        <w:rPr>
          <w:noProof/>
        </w:rPr>
      </w:pPr>
      <w:r>
        <w:t xml:space="preserve">The </w:t>
      </w:r>
      <w:r w:rsidR="008642CB" w:rsidRPr="004233F6">
        <w:t xml:space="preserve">CNP-II </w:t>
      </w:r>
      <w:r w:rsidR="005B73AD">
        <w:t>will</w:t>
      </w:r>
      <w:r w:rsidR="005B73AD" w:rsidRPr="004233F6">
        <w:t xml:space="preserve"> </w:t>
      </w:r>
      <w:r w:rsidR="008642CB" w:rsidRPr="004233F6">
        <w:t>finance some ICT equipment in a small quantity. The potential risks associated with disposal of such equipment are minimum</w:t>
      </w:r>
      <w:r w:rsidR="003F1862">
        <w:t>.</w:t>
      </w:r>
      <w:r w:rsidR="008642CB" w:rsidRPr="004233F6">
        <w:t xml:space="preserve"> The relevance of ESS 3 will be reflected in procurement specifications for energy efficient equipment and provisions made in the project operation manual to ensure full compliance with Environmental Health and Safety Guidelines (EHSGs).  </w:t>
      </w:r>
      <w:r w:rsidR="008642CB" w:rsidRPr="004233F6">
        <w:rPr>
          <w:noProof/>
        </w:rPr>
        <w:t xml:space="preserve">The project will finance </w:t>
      </w:r>
      <w:r w:rsidR="00D61386">
        <w:rPr>
          <w:noProof/>
        </w:rPr>
        <w:t xml:space="preserve">teleconference facilities which includes TV, wifi router, sound system for 18 provincial administration (PAs) and district/municipal administration (DMAs) to </w:t>
      </w:r>
      <w:r w:rsidR="00D61386">
        <w:rPr>
          <w:noProof/>
        </w:rPr>
        <w:lastRenderedPageBreak/>
        <w:t>support implementation of C/S-SDG activities in the COVID-19 context. The investment on these teleconference facilities will be approximately US$ 40,000.</w:t>
      </w:r>
      <w:r w:rsidR="008642CB" w:rsidRPr="004233F6">
        <w:rPr>
          <w:noProof/>
        </w:rPr>
        <w:t xml:space="preserve">.The potential risks and impacts associated with disposal of such ICT equipment will be minimumand be mitigated through a simple Environmental Codes of Practice (ECOP) for safe e-waste disposal, provided </w:t>
      </w:r>
      <w:r>
        <w:rPr>
          <w:noProof/>
        </w:rPr>
        <w:t>in the following.</w:t>
      </w:r>
    </w:p>
    <w:p w14:paraId="3B1E0ECB" w14:textId="5C1C8FA2" w:rsidR="00747F89" w:rsidRDefault="009424BF" w:rsidP="00E02A51">
      <w:pPr>
        <w:pStyle w:val="ListParagraph"/>
        <w:tabs>
          <w:tab w:val="left" w:pos="720"/>
          <w:tab w:val="left" w:pos="810"/>
          <w:tab w:val="left" w:pos="1080"/>
        </w:tabs>
        <w:kinsoku w:val="0"/>
        <w:overflowPunct w:val="0"/>
        <w:spacing w:before="120" w:after="120"/>
        <w:ind w:left="0" w:right="30" w:firstLine="0"/>
        <w:jc w:val="both"/>
      </w:pPr>
      <w:r w:rsidRPr="003D4B48">
        <w:t>The ECOP provides guidance for management and disposal of electrical and electronic wastes and other hazardous materials (E-wastes) at end-of-life of equipment as part of good environmental practice and in compliance with environmental laws and regulations. This document is considered a living document and could be modified and changed in line with available and emerging technologies, approaches, and regulations on waste management in the country.</w:t>
      </w:r>
    </w:p>
    <w:p w14:paraId="72791917" w14:textId="77777777" w:rsidR="00747F89" w:rsidRDefault="009424BF" w:rsidP="00E02A51">
      <w:pPr>
        <w:pStyle w:val="ListParagraph"/>
        <w:tabs>
          <w:tab w:val="left" w:pos="720"/>
          <w:tab w:val="left" w:pos="810"/>
          <w:tab w:val="left" w:pos="1080"/>
        </w:tabs>
        <w:kinsoku w:val="0"/>
        <w:overflowPunct w:val="0"/>
        <w:spacing w:before="120" w:after="120"/>
        <w:ind w:left="0" w:right="30" w:firstLine="0"/>
        <w:jc w:val="both"/>
      </w:pPr>
      <w:r w:rsidRPr="003D4B48">
        <w:t xml:space="preserve">The anticipated environmental impacts of the project are likely to occur during the disposal of unserviceable </w:t>
      </w:r>
      <w:r>
        <w:t xml:space="preserve">ICT </w:t>
      </w:r>
      <w:r w:rsidRPr="003D4B48">
        <w:t xml:space="preserve">equipment such as </w:t>
      </w:r>
      <w:r>
        <w:t>laptops and video conferencing equipment</w:t>
      </w:r>
      <w:r w:rsidR="00747F89">
        <w:t>.</w:t>
      </w:r>
    </w:p>
    <w:p w14:paraId="2C0A9FE9" w14:textId="1442B50D" w:rsidR="00747F89" w:rsidRDefault="3E8E670D" w:rsidP="00E02A51">
      <w:pPr>
        <w:pStyle w:val="ListParagraph"/>
        <w:tabs>
          <w:tab w:val="left" w:pos="720"/>
          <w:tab w:val="left" w:pos="810"/>
        </w:tabs>
        <w:kinsoku w:val="0"/>
        <w:overflowPunct w:val="0"/>
        <w:spacing w:before="120" w:after="120"/>
        <w:ind w:left="0" w:right="30" w:firstLine="0"/>
        <w:jc w:val="both"/>
      </w:pPr>
      <w:r>
        <w:t xml:space="preserve">NCDDS recognizes the importance of dealing with E-waste because of the health risks due to the hazardous materials they contain. Following NCDDS procedures on disposal of unserviceable property, inspection is conducted to check the condition of the equipment to be disposed. Once the supplies/equipment become unserviceable, the accountable officer of the said equipment shall immediately return the same to the Office Manager, who shall then file an application for disposal with appropriate documents to the Project Manager. Accountable officers in possession of the unserviceable equipment shall submit the documents pertinent to the disposal of the unserviceable equipment to the Disposal Committee through their respective heads of offices. The Project Manager shall inspect the items and determine whether the items are with or without value and then forwards his/her recommendation to the Head of the Agency. </w:t>
      </w:r>
    </w:p>
    <w:p w14:paraId="0535E2A3" w14:textId="77777777" w:rsidR="00747F89" w:rsidRDefault="009424BF" w:rsidP="00E02A51">
      <w:pPr>
        <w:pStyle w:val="ListParagraph"/>
        <w:tabs>
          <w:tab w:val="left" w:pos="720"/>
          <w:tab w:val="left" w:pos="810"/>
        </w:tabs>
        <w:kinsoku w:val="0"/>
        <w:overflowPunct w:val="0"/>
        <w:spacing w:before="120" w:after="120"/>
        <w:ind w:left="0" w:right="30" w:firstLine="0"/>
        <w:jc w:val="both"/>
      </w:pPr>
      <w:r w:rsidRPr="003D4B48">
        <w:t xml:space="preserve">For expendable materials, supplies and consumables such as </w:t>
      </w:r>
      <w:r>
        <w:t>power cords, cables,</w:t>
      </w:r>
      <w:r w:rsidRPr="003D4B48">
        <w:t xml:space="preserve"> and other remnants from destroyed or damaged equipment, a Waste Materials Report shall be prepared by the Accountable officials for submission to the Disposal Committee. </w:t>
      </w:r>
    </w:p>
    <w:p w14:paraId="7E768FB2" w14:textId="77777777" w:rsidR="00747F89" w:rsidRDefault="009424BF" w:rsidP="00E02A51">
      <w:pPr>
        <w:pStyle w:val="ListParagraph"/>
        <w:tabs>
          <w:tab w:val="left" w:pos="720"/>
          <w:tab w:val="left" w:pos="810"/>
        </w:tabs>
        <w:kinsoku w:val="0"/>
        <w:overflowPunct w:val="0"/>
        <w:spacing w:before="120" w:after="120"/>
        <w:ind w:left="0" w:right="30" w:firstLine="0"/>
        <w:jc w:val="both"/>
      </w:pPr>
      <w:r w:rsidRPr="003D4B48">
        <w:t xml:space="preserve">Once the approval for disposal of unserviceable equipment, </w:t>
      </w:r>
      <w:r>
        <w:t>cords, cables,</w:t>
      </w:r>
      <w:r w:rsidRPr="003D4B48">
        <w:t xml:space="preserve"> and parts have been inspected by </w:t>
      </w:r>
      <w:r>
        <w:t>Project Manager</w:t>
      </w:r>
      <w:r w:rsidRPr="003D4B48">
        <w:t xml:space="preserve"> and approved by the Disposal Committee, the following measures are outlined to manage E-wastes: </w:t>
      </w:r>
    </w:p>
    <w:p w14:paraId="30D2BDBC" w14:textId="77777777" w:rsidR="00747F89" w:rsidRDefault="009424BF" w:rsidP="00E02A51">
      <w:pPr>
        <w:pStyle w:val="ListParagraph"/>
        <w:numPr>
          <w:ilvl w:val="0"/>
          <w:numId w:val="81"/>
        </w:numPr>
        <w:tabs>
          <w:tab w:val="left" w:pos="720"/>
          <w:tab w:val="left" w:pos="810"/>
        </w:tabs>
        <w:kinsoku w:val="0"/>
        <w:overflowPunct w:val="0"/>
        <w:spacing w:before="120" w:after="120"/>
        <w:ind w:left="360" w:right="30"/>
        <w:jc w:val="both"/>
      </w:pPr>
      <w:r w:rsidRPr="003D4B48">
        <w:t xml:space="preserve">Some damaged equipment and parts may still be valuable and recyclable. The reuse or recycling of the repairable equipment or its parts should be prioritized, where appropriate. </w:t>
      </w:r>
    </w:p>
    <w:p w14:paraId="3BBAE9D5" w14:textId="77777777" w:rsidR="00747F89" w:rsidRDefault="009424BF" w:rsidP="00E02A51">
      <w:pPr>
        <w:pStyle w:val="ListParagraph"/>
        <w:numPr>
          <w:ilvl w:val="0"/>
          <w:numId w:val="81"/>
        </w:numPr>
        <w:tabs>
          <w:tab w:val="left" w:pos="720"/>
          <w:tab w:val="left" w:pos="810"/>
        </w:tabs>
        <w:kinsoku w:val="0"/>
        <w:overflowPunct w:val="0"/>
        <w:spacing w:before="120" w:after="120"/>
        <w:ind w:left="360" w:right="30"/>
        <w:jc w:val="both"/>
      </w:pPr>
      <w:r w:rsidRPr="00747F89">
        <w:t xml:space="preserve">Adopt buy-back options with suppliers as part of extended producer responsibility and Green Procurement policies. </w:t>
      </w:r>
    </w:p>
    <w:p w14:paraId="2D616F91" w14:textId="515366F2" w:rsidR="00747F89" w:rsidRDefault="009424BF" w:rsidP="00E02A51">
      <w:pPr>
        <w:pStyle w:val="ListParagraph"/>
        <w:numPr>
          <w:ilvl w:val="0"/>
          <w:numId w:val="81"/>
        </w:numPr>
        <w:tabs>
          <w:tab w:val="left" w:pos="720"/>
          <w:tab w:val="left" w:pos="810"/>
        </w:tabs>
        <w:kinsoku w:val="0"/>
        <w:overflowPunct w:val="0"/>
        <w:spacing w:before="120" w:after="120"/>
        <w:ind w:left="360" w:right="30"/>
        <w:jc w:val="both"/>
      </w:pPr>
      <w:r w:rsidRPr="00747F89">
        <w:t xml:space="preserve">The equipment or parts that can neither be reused or recycled should be collected in separate bins/containers and placed in a secured centralized E-waste segregation area at the NCDDS offices. These should be segregated from the regular solid waste. d) Disposal bins for electronic wastes are to be provided in NCDDS offices. E-waste collection area should be provided with weatherproof cover, impermeable surfaces to prevent transmission of liquids beyond the pavement surface, and with label or signage to identify the wastes contained in the area. </w:t>
      </w:r>
    </w:p>
    <w:p w14:paraId="0ACA00EB" w14:textId="77777777" w:rsidR="00747F89" w:rsidRDefault="009424BF" w:rsidP="00E02A51">
      <w:pPr>
        <w:pStyle w:val="ListParagraph"/>
        <w:numPr>
          <w:ilvl w:val="0"/>
          <w:numId w:val="81"/>
        </w:numPr>
        <w:tabs>
          <w:tab w:val="left" w:pos="720"/>
          <w:tab w:val="left" w:pos="810"/>
        </w:tabs>
        <w:kinsoku w:val="0"/>
        <w:overflowPunct w:val="0"/>
        <w:spacing w:before="120" w:after="120"/>
        <w:ind w:left="360" w:right="30"/>
        <w:jc w:val="both"/>
      </w:pPr>
      <w:r w:rsidRPr="00747F89">
        <w:t xml:space="preserve">Disassembled parts of electronic equipment must be properly segregated and stored in spill tight containers with impermeable surface and a sealed drainage system. Avoid </w:t>
      </w:r>
      <w:r w:rsidRPr="00747F89">
        <w:lastRenderedPageBreak/>
        <w:t>breakage of these products and safely deposit at end-of-life at designated disposal bins located at NCDDS offices.</w:t>
      </w:r>
    </w:p>
    <w:p w14:paraId="32800143" w14:textId="77777777" w:rsidR="00747F89" w:rsidRDefault="009424BF" w:rsidP="00E02A51">
      <w:pPr>
        <w:pStyle w:val="ListParagraph"/>
        <w:numPr>
          <w:ilvl w:val="0"/>
          <w:numId w:val="81"/>
        </w:numPr>
        <w:tabs>
          <w:tab w:val="left" w:pos="720"/>
          <w:tab w:val="left" w:pos="810"/>
        </w:tabs>
        <w:kinsoku w:val="0"/>
        <w:overflowPunct w:val="0"/>
        <w:spacing w:before="120" w:after="120"/>
        <w:ind w:left="360" w:right="30"/>
        <w:jc w:val="both"/>
      </w:pPr>
      <w:r w:rsidRPr="00747F89">
        <w:t xml:space="preserve">No burning, on-site burying or dumping of waste shall occur. </w:t>
      </w:r>
    </w:p>
    <w:p w14:paraId="5BE4FC39" w14:textId="77777777" w:rsidR="00747F89" w:rsidRDefault="009424BF" w:rsidP="00E02A51">
      <w:pPr>
        <w:pStyle w:val="ListParagraph"/>
        <w:numPr>
          <w:ilvl w:val="0"/>
          <w:numId w:val="81"/>
        </w:numPr>
        <w:tabs>
          <w:tab w:val="left" w:pos="720"/>
          <w:tab w:val="left" w:pos="810"/>
        </w:tabs>
        <w:kinsoku w:val="0"/>
        <w:overflowPunct w:val="0"/>
        <w:spacing w:before="120" w:after="120"/>
        <w:ind w:left="360" w:right="30"/>
        <w:jc w:val="both"/>
      </w:pPr>
      <w:r w:rsidRPr="00747F89">
        <w:t xml:space="preserve">Adopt the following options for the final disposal of E-waste: 1) Commission the services of Department of General Energy-registered hazardous waste transporters and treaters for the collection and disposal of E-waste that has been collected. 2) Coordinate with a General Department of Energy-recognized non-government organization working on E-waste collection and disposal. </w:t>
      </w:r>
    </w:p>
    <w:p w14:paraId="411CF5F7" w14:textId="6BA47432" w:rsidR="009424BF" w:rsidRDefault="009424BF" w:rsidP="00E02A51">
      <w:pPr>
        <w:pStyle w:val="ListParagraph"/>
        <w:numPr>
          <w:ilvl w:val="0"/>
          <w:numId w:val="81"/>
        </w:numPr>
        <w:tabs>
          <w:tab w:val="left" w:pos="720"/>
          <w:tab w:val="left" w:pos="810"/>
        </w:tabs>
        <w:kinsoku w:val="0"/>
        <w:overflowPunct w:val="0"/>
        <w:spacing w:before="120" w:after="120"/>
        <w:ind w:left="360" w:right="30"/>
        <w:jc w:val="both"/>
      </w:pPr>
      <w:r w:rsidRPr="00747F89">
        <w:t xml:space="preserve">Comply with the requirements of the General Department of Energy with regards to the registration and reporting of E-waste disposal. </w:t>
      </w:r>
    </w:p>
    <w:p w14:paraId="26B2945D" w14:textId="5F150F98" w:rsidR="00CE0D9D" w:rsidRPr="00580F72" w:rsidRDefault="00CE0D9D" w:rsidP="00E02A51">
      <w:pPr>
        <w:rPr>
          <w:rFonts w:ascii="Calibri" w:hAnsi="Calibri" w:cs="Calibri"/>
          <w:sz w:val="24"/>
          <w:szCs w:val="24"/>
        </w:rPr>
      </w:pPr>
      <w:r>
        <w:br w:type="page"/>
      </w:r>
    </w:p>
    <w:p w14:paraId="35A27B30" w14:textId="35281879" w:rsidR="00CE0D9D" w:rsidRPr="00B97F20" w:rsidRDefault="00CE0D9D" w:rsidP="007C37A1">
      <w:pPr>
        <w:tabs>
          <w:tab w:val="left" w:pos="720"/>
        </w:tabs>
        <w:kinsoku w:val="0"/>
        <w:overflowPunct w:val="0"/>
        <w:autoSpaceDE w:val="0"/>
        <w:autoSpaceDN w:val="0"/>
        <w:adjustRightInd w:val="0"/>
        <w:spacing w:before="120" w:after="120" w:line="240" w:lineRule="auto"/>
        <w:ind w:right="29"/>
        <w:jc w:val="both"/>
        <w:rPr>
          <w:rFonts w:cstheme="minorHAnsi"/>
          <w:b/>
          <w:bCs/>
          <w:spacing w:val="1"/>
          <w:sz w:val="24"/>
          <w:szCs w:val="24"/>
        </w:rPr>
      </w:pPr>
      <w:r w:rsidRPr="00B97F20">
        <w:rPr>
          <w:rFonts w:cstheme="minorHAnsi"/>
          <w:b/>
          <w:bCs/>
          <w:sz w:val="24"/>
          <w:szCs w:val="24"/>
        </w:rPr>
        <w:lastRenderedPageBreak/>
        <w:t>ANNEX</w:t>
      </w:r>
      <w:r w:rsidRPr="00B97F20">
        <w:rPr>
          <w:rFonts w:cstheme="minorHAnsi"/>
          <w:b/>
          <w:bCs/>
          <w:spacing w:val="1"/>
          <w:sz w:val="24"/>
          <w:szCs w:val="24"/>
        </w:rPr>
        <w:t xml:space="preserve"> </w:t>
      </w:r>
      <w:r w:rsidR="008649FB">
        <w:rPr>
          <w:rFonts w:cstheme="minorHAnsi"/>
          <w:b/>
          <w:bCs/>
          <w:sz w:val="24"/>
          <w:szCs w:val="24"/>
        </w:rPr>
        <w:t>3</w:t>
      </w:r>
      <w:r w:rsidRPr="00B97F20">
        <w:rPr>
          <w:rFonts w:cstheme="minorHAnsi"/>
          <w:b/>
          <w:bCs/>
          <w:spacing w:val="-1"/>
          <w:sz w:val="24"/>
          <w:szCs w:val="24"/>
        </w:rPr>
        <w:t xml:space="preserve"> </w:t>
      </w:r>
      <w:r w:rsidRPr="00B97F20">
        <w:rPr>
          <w:rFonts w:cstheme="minorHAnsi"/>
          <w:b/>
          <w:bCs/>
          <w:sz w:val="24"/>
          <w:szCs w:val="24"/>
        </w:rPr>
        <w:t>–</w:t>
      </w:r>
      <w:r w:rsidRPr="00B97F20">
        <w:rPr>
          <w:rFonts w:cstheme="minorHAnsi"/>
          <w:b/>
          <w:bCs/>
          <w:spacing w:val="1"/>
          <w:sz w:val="24"/>
          <w:szCs w:val="24"/>
        </w:rPr>
        <w:t xml:space="preserve"> SEA/SH</w:t>
      </w:r>
      <w:r w:rsidR="008649FB">
        <w:rPr>
          <w:rFonts w:cstheme="minorHAnsi"/>
          <w:b/>
          <w:bCs/>
          <w:spacing w:val="1"/>
          <w:sz w:val="24"/>
          <w:szCs w:val="24"/>
        </w:rPr>
        <w:t xml:space="preserve"> AND VAC</w:t>
      </w:r>
      <w:r w:rsidRPr="00B97F20">
        <w:rPr>
          <w:rFonts w:cstheme="minorHAnsi"/>
          <w:b/>
          <w:bCs/>
          <w:spacing w:val="1"/>
          <w:sz w:val="24"/>
          <w:szCs w:val="24"/>
        </w:rPr>
        <w:t xml:space="preserve"> PREVENTION AND MANAGEMENT  </w:t>
      </w:r>
    </w:p>
    <w:p w14:paraId="28DA79BB" w14:textId="77777777" w:rsidR="00CE0D9D" w:rsidRPr="00B97F20" w:rsidRDefault="00CE0D9D" w:rsidP="007C37A1">
      <w:pPr>
        <w:tabs>
          <w:tab w:val="left" w:pos="720"/>
        </w:tabs>
        <w:kinsoku w:val="0"/>
        <w:overflowPunct w:val="0"/>
        <w:autoSpaceDE w:val="0"/>
        <w:autoSpaceDN w:val="0"/>
        <w:adjustRightInd w:val="0"/>
        <w:spacing w:before="120" w:after="120" w:line="240" w:lineRule="auto"/>
        <w:ind w:right="29"/>
        <w:jc w:val="both"/>
        <w:rPr>
          <w:rFonts w:cstheme="minorHAnsi"/>
          <w:b/>
          <w:bCs/>
          <w:spacing w:val="1"/>
          <w:sz w:val="24"/>
          <w:szCs w:val="24"/>
        </w:rPr>
      </w:pPr>
      <w:r w:rsidRPr="00B97F20">
        <w:rPr>
          <w:rFonts w:cstheme="minorHAnsi"/>
          <w:sz w:val="24"/>
          <w:szCs w:val="24"/>
        </w:rPr>
        <w:t xml:space="preserve">The Royal Government of Cambodia (RGC) has made significant strides in setting a national policy and legal framework to address gender-based violence against women (GBV/VAW) and promote gender equality and women's empowerment. The following laws, policies and national strategies have been developed and adopted: </w:t>
      </w:r>
    </w:p>
    <w:p w14:paraId="3DA5817D" w14:textId="77777777" w:rsidR="00CE0D9D" w:rsidRPr="00B97F20" w:rsidRDefault="00CE0D9D" w:rsidP="007C37A1">
      <w:pPr>
        <w:pStyle w:val="ListParagraph"/>
        <w:numPr>
          <w:ilvl w:val="0"/>
          <w:numId w:val="82"/>
        </w:numPr>
        <w:tabs>
          <w:tab w:val="left" w:pos="720"/>
        </w:tabs>
        <w:kinsoku w:val="0"/>
        <w:overflowPunct w:val="0"/>
        <w:spacing w:before="120" w:after="120"/>
        <w:ind w:left="360" w:right="29"/>
        <w:jc w:val="both"/>
        <w:rPr>
          <w:rFonts w:asciiTheme="minorHAnsi" w:hAnsiTheme="minorHAnsi" w:cstheme="minorHAnsi"/>
          <w:b/>
          <w:bCs/>
          <w:spacing w:val="1"/>
        </w:rPr>
      </w:pPr>
      <w:r w:rsidRPr="00B97F20">
        <w:rPr>
          <w:rFonts w:asciiTheme="minorHAnsi" w:hAnsiTheme="minorHAnsi" w:cstheme="minorHAnsi"/>
        </w:rPr>
        <w:t>The Constitution of Cambodia (1993) guarantees that there shall be no physical abuse of any individual (Article 38).</w:t>
      </w:r>
    </w:p>
    <w:p w14:paraId="538C7193" w14:textId="77777777" w:rsidR="00CE0D9D" w:rsidRPr="00B97F20" w:rsidRDefault="00CE0D9D" w:rsidP="007C37A1">
      <w:pPr>
        <w:pStyle w:val="ListParagraph"/>
        <w:numPr>
          <w:ilvl w:val="0"/>
          <w:numId w:val="82"/>
        </w:numPr>
        <w:tabs>
          <w:tab w:val="left" w:pos="720"/>
        </w:tabs>
        <w:kinsoku w:val="0"/>
        <w:overflowPunct w:val="0"/>
        <w:spacing w:before="120" w:after="120"/>
        <w:ind w:left="360" w:right="29"/>
        <w:jc w:val="both"/>
        <w:rPr>
          <w:rFonts w:asciiTheme="minorHAnsi" w:hAnsiTheme="minorHAnsi" w:cstheme="minorHAnsi"/>
          <w:b/>
          <w:bCs/>
          <w:spacing w:val="1"/>
        </w:rPr>
      </w:pPr>
      <w:r w:rsidRPr="00B97F20">
        <w:rPr>
          <w:rFonts w:asciiTheme="minorHAnsi" w:hAnsiTheme="minorHAnsi" w:cstheme="minorHAnsi"/>
        </w:rPr>
        <w:t xml:space="preserve">Law on Prevention of Domestic Violence and Protection of Victims (2005) establishes the responsibility of local authorities to intervene in cases of domestic violence and provides for protection orders to be issued by the courts to protect the victim from any further violence </w:t>
      </w:r>
    </w:p>
    <w:p w14:paraId="6DF4AA2D" w14:textId="77777777" w:rsidR="00CE0D9D" w:rsidRPr="00B97F20" w:rsidRDefault="00CE0D9D" w:rsidP="007C37A1">
      <w:pPr>
        <w:pStyle w:val="ListParagraph"/>
        <w:numPr>
          <w:ilvl w:val="0"/>
          <w:numId w:val="82"/>
        </w:numPr>
        <w:tabs>
          <w:tab w:val="left" w:pos="720"/>
        </w:tabs>
        <w:kinsoku w:val="0"/>
        <w:overflowPunct w:val="0"/>
        <w:spacing w:before="120" w:after="120"/>
        <w:ind w:left="360" w:right="29"/>
        <w:jc w:val="both"/>
        <w:rPr>
          <w:rFonts w:asciiTheme="minorHAnsi" w:hAnsiTheme="minorHAnsi" w:cstheme="minorHAnsi"/>
          <w:b/>
          <w:bCs/>
          <w:spacing w:val="1"/>
        </w:rPr>
      </w:pPr>
      <w:r w:rsidRPr="00B97F20">
        <w:rPr>
          <w:rFonts w:asciiTheme="minorHAnsi" w:hAnsiTheme="minorHAnsi" w:cstheme="minorHAnsi"/>
        </w:rPr>
        <w:t xml:space="preserve">The Village Commune Safety Policy (2010) identifies rape, domestic violence and anti- trafficking as priority areas for commune, municipal, district and provincial councils to address. </w:t>
      </w:r>
    </w:p>
    <w:p w14:paraId="1F6CF8FA" w14:textId="77777777" w:rsidR="00CE0D9D" w:rsidRPr="00B97F20" w:rsidRDefault="00CE0D9D" w:rsidP="007C37A1">
      <w:pPr>
        <w:pStyle w:val="ListParagraph"/>
        <w:numPr>
          <w:ilvl w:val="0"/>
          <w:numId w:val="82"/>
        </w:numPr>
        <w:tabs>
          <w:tab w:val="left" w:pos="720"/>
        </w:tabs>
        <w:kinsoku w:val="0"/>
        <w:overflowPunct w:val="0"/>
        <w:spacing w:before="120" w:after="120"/>
        <w:ind w:left="360" w:right="29"/>
        <w:jc w:val="both"/>
        <w:rPr>
          <w:rFonts w:asciiTheme="minorHAnsi" w:hAnsiTheme="minorHAnsi" w:cstheme="minorHAnsi"/>
          <w:b/>
          <w:bCs/>
          <w:spacing w:val="1"/>
        </w:rPr>
      </w:pPr>
      <w:r w:rsidRPr="00B97F20">
        <w:rPr>
          <w:rFonts w:asciiTheme="minorHAnsi" w:hAnsiTheme="minorHAnsi" w:cstheme="minorHAnsi"/>
        </w:rPr>
        <w:t>The 2nd National Action Plan to Prevent Violence Against Women (NAPVAW II) 2014-2018 promotes prevention interventions response, access to quality services, and multi-sectorial coordination and cooperation to reduce violence against women.</w:t>
      </w:r>
    </w:p>
    <w:p w14:paraId="31DAA5FE" w14:textId="2C1EBF51" w:rsidR="00CE0D9D" w:rsidRPr="00B97F20" w:rsidRDefault="00CE0D9D" w:rsidP="007C37A1">
      <w:pPr>
        <w:pStyle w:val="ListParagraph"/>
        <w:numPr>
          <w:ilvl w:val="0"/>
          <w:numId w:val="82"/>
        </w:numPr>
        <w:tabs>
          <w:tab w:val="left" w:pos="720"/>
        </w:tabs>
        <w:kinsoku w:val="0"/>
        <w:overflowPunct w:val="0"/>
        <w:spacing w:before="120" w:after="120"/>
        <w:ind w:left="360" w:right="29"/>
        <w:jc w:val="both"/>
        <w:rPr>
          <w:rFonts w:asciiTheme="minorHAnsi" w:hAnsiTheme="minorHAnsi" w:cstheme="minorHAnsi"/>
          <w:b/>
          <w:bCs/>
          <w:spacing w:val="1"/>
        </w:rPr>
      </w:pPr>
      <w:r w:rsidRPr="00B97F20">
        <w:rPr>
          <w:rFonts w:asciiTheme="minorHAnsi" w:hAnsiTheme="minorHAnsi" w:cstheme="minorHAnsi"/>
        </w:rPr>
        <w:t xml:space="preserve">The National Strategic Development Plan (NSDP) 2014-2018 promotes strengthening the dissemination of laws, legislations and international treaties ratified by the RGC related to women and children and promotes implementation and monitoring of NAPVAW. </w:t>
      </w:r>
    </w:p>
    <w:p w14:paraId="0790B684" w14:textId="77777777" w:rsidR="00CE0D9D" w:rsidRPr="00B97F20" w:rsidRDefault="00CE0D9D" w:rsidP="007C37A1">
      <w:pPr>
        <w:pStyle w:val="ListParagraph"/>
        <w:numPr>
          <w:ilvl w:val="0"/>
          <w:numId w:val="82"/>
        </w:numPr>
        <w:tabs>
          <w:tab w:val="left" w:pos="720"/>
        </w:tabs>
        <w:kinsoku w:val="0"/>
        <w:overflowPunct w:val="0"/>
        <w:spacing w:before="120" w:after="120"/>
        <w:ind w:left="360" w:right="29"/>
        <w:jc w:val="both"/>
        <w:rPr>
          <w:rFonts w:asciiTheme="minorHAnsi" w:hAnsiTheme="minorHAnsi" w:cstheme="minorHAnsi"/>
          <w:b/>
          <w:bCs/>
          <w:spacing w:val="1"/>
        </w:rPr>
      </w:pPr>
      <w:r w:rsidRPr="00B97F20">
        <w:rPr>
          <w:rFonts w:asciiTheme="minorHAnsi" w:hAnsiTheme="minorHAnsi" w:cstheme="minorHAnsi"/>
        </w:rPr>
        <w:t xml:space="preserve">The Cambodia Gender Assessment (CGA) and the Strategic Plan (Neary Rattanak IV) (2014)3 have been developed and launched together as a joint evidence-based policy package to respond to key gender issues and to meet the needs of women. </w:t>
      </w:r>
    </w:p>
    <w:p w14:paraId="11E0F181" w14:textId="067C4BD6" w:rsidR="00CE0D9D" w:rsidRPr="00B97F20" w:rsidRDefault="00CE0D9D" w:rsidP="007C37A1">
      <w:pPr>
        <w:tabs>
          <w:tab w:val="left" w:pos="720"/>
        </w:tabs>
        <w:kinsoku w:val="0"/>
        <w:overflowPunct w:val="0"/>
        <w:spacing w:before="120" w:after="120" w:line="240" w:lineRule="auto"/>
        <w:ind w:right="29"/>
        <w:jc w:val="both"/>
        <w:rPr>
          <w:rFonts w:cstheme="minorHAnsi"/>
          <w:b/>
          <w:bCs/>
          <w:spacing w:val="1"/>
          <w:sz w:val="24"/>
          <w:szCs w:val="24"/>
        </w:rPr>
      </w:pPr>
      <w:r w:rsidRPr="00B97F20">
        <w:rPr>
          <w:rFonts w:cstheme="minorHAnsi"/>
          <w:sz w:val="24"/>
          <w:szCs w:val="24"/>
        </w:rPr>
        <w:t>Despite the significant progress in its efforts to prevent and respond to SEA/SH as well as Violence Against Children (VAC), challenges remain including weak capacity to implement policies, poor coverage of services and their limited access, particularly for women and girls from marginalized populations groups.</w:t>
      </w:r>
    </w:p>
    <w:p w14:paraId="742C9FA0" w14:textId="77777777" w:rsidR="00CE0D9D" w:rsidRPr="00B97F20" w:rsidRDefault="00CE0D9D" w:rsidP="007C37A1">
      <w:pPr>
        <w:tabs>
          <w:tab w:val="left" w:pos="720"/>
        </w:tabs>
        <w:kinsoku w:val="0"/>
        <w:overflowPunct w:val="0"/>
        <w:spacing w:before="120" w:after="120" w:line="240" w:lineRule="auto"/>
        <w:ind w:right="29"/>
        <w:jc w:val="both"/>
        <w:rPr>
          <w:rFonts w:cstheme="minorHAnsi"/>
          <w:b/>
          <w:bCs/>
          <w:spacing w:val="1"/>
          <w:sz w:val="24"/>
          <w:szCs w:val="24"/>
        </w:rPr>
      </w:pPr>
      <w:r w:rsidRPr="00B97F20">
        <w:rPr>
          <w:rFonts w:cstheme="minorHAnsi"/>
          <w:sz w:val="24"/>
          <w:szCs w:val="24"/>
        </w:rPr>
        <w:t xml:space="preserve">Following the adoption of the national guidelines for the management of violence against women and children, the Ministry of Health has undertaken efforts to translate the guidance into practice, in line with WHO guidelines and international best practice. Ongoing work includes: </w:t>
      </w:r>
    </w:p>
    <w:p w14:paraId="20A4F705" w14:textId="77777777" w:rsidR="00DE5E00" w:rsidRPr="00B97F20" w:rsidRDefault="00DE5E00" w:rsidP="007C37A1">
      <w:pPr>
        <w:pStyle w:val="ListParagraph"/>
        <w:numPr>
          <w:ilvl w:val="0"/>
          <w:numId w:val="83"/>
        </w:numPr>
        <w:tabs>
          <w:tab w:val="left" w:pos="720"/>
        </w:tabs>
        <w:kinsoku w:val="0"/>
        <w:overflowPunct w:val="0"/>
        <w:spacing w:before="120" w:after="120"/>
        <w:ind w:left="360" w:right="29"/>
        <w:jc w:val="both"/>
        <w:rPr>
          <w:rFonts w:asciiTheme="minorHAnsi" w:hAnsiTheme="minorHAnsi" w:cstheme="minorHAnsi"/>
          <w:b/>
          <w:bCs/>
          <w:spacing w:val="1"/>
        </w:rPr>
      </w:pPr>
      <w:r w:rsidRPr="00B97F20">
        <w:rPr>
          <w:rFonts w:asciiTheme="minorHAnsi" w:hAnsiTheme="minorHAnsi" w:cstheme="minorHAnsi"/>
        </w:rPr>
        <w:t>a</w:t>
      </w:r>
      <w:r w:rsidR="00CE0D9D" w:rsidRPr="00B97F20">
        <w:rPr>
          <w:rFonts w:asciiTheme="minorHAnsi" w:hAnsiTheme="minorHAnsi" w:cstheme="minorHAnsi"/>
        </w:rPr>
        <w:t xml:space="preserve"> national clinical handbook and a training curriculum to build capacity of health care providers to provide health care to women subjected to violence. </w:t>
      </w:r>
    </w:p>
    <w:p w14:paraId="5E804877" w14:textId="77777777" w:rsidR="00DE5E00" w:rsidRPr="00B97F20" w:rsidRDefault="00CE0D9D" w:rsidP="007C37A1">
      <w:pPr>
        <w:pStyle w:val="ListParagraph"/>
        <w:numPr>
          <w:ilvl w:val="0"/>
          <w:numId w:val="83"/>
        </w:numPr>
        <w:tabs>
          <w:tab w:val="left" w:pos="720"/>
        </w:tabs>
        <w:kinsoku w:val="0"/>
        <w:overflowPunct w:val="0"/>
        <w:spacing w:before="120" w:after="120"/>
        <w:ind w:left="360" w:right="29"/>
        <w:jc w:val="both"/>
        <w:rPr>
          <w:rFonts w:asciiTheme="minorHAnsi" w:hAnsiTheme="minorHAnsi" w:cstheme="minorHAnsi"/>
          <w:b/>
          <w:bCs/>
          <w:spacing w:val="1"/>
        </w:rPr>
      </w:pPr>
      <w:r w:rsidRPr="00B97F20">
        <w:rPr>
          <w:rFonts w:asciiTheme="minorHAnsi" w:hAnsiTheme="minorHAnsi" w:cstheme="minorHAnsi"/>
        </w:rPr>
        <w:t xml:space="preserve">Improving access to forensic services including by making them free and strengthening skills of medical staff to conduct such examinations. </w:t>
      </w:r>
    </w:p>
    <w:p w14:paraId="3E34FC30" w14:textId="77777777" w:rsidR="00DE5E00" w:rsidRPr="00B97F20" w:rsidRDefault="00CE0D9D" w:rsidP="007C37A1">
      <w:pPr>
        <w:pStyle w:val="ListParagraph"/>
        <w:numPr>
          <w:ilvl w:val="0"/>
          <w:numId w:val="83"/>
        </w:numPr>
        <w:tabs>
          <w:tab w:val="left" w:pos="720"/>
        </w:tabs>
        <w:kinsoku w:val="0"/>
        <w:overflowPunct w:val="0"/>
        <w:spacing w:before="120" w:after="120"/>
        <w:ind w:left="360" w:right="29"/>
        <w:jc w:val="both"/>
        <w:rPr>
          <w:rFonts w:asciiTheme="minorHAnsi" w:hAnsiTheme="minorHAnsi" w:cstheme="minorHAnsi"/>
          <w:b/>
          <w:bCs/>
          <w:spacing w:val="1"/>
        </w:rPr>
      </w:pPr>
      <w:r w:rsidRPr="00B97F20">
        <w:rPr>
          <w:rFonts w:asciiTheme="minorHAnsi" w:hAnsiTheme="minorHAnsi" w:cstheme="minorHAnsi"/>
        </w:rPr>
        <w:t xml:space="preserve">Providing HIV post-exposure prophylaxis (PEP), emergency contraceptives and STI screening and treatment along with other reproductive health services. </w:t>
      </w:r>
    </w:p>
    <w:p w14:paraId="6E6728D1" w14:textId="77777777" w:rsidR="006A416E" w:rsidRPr="00B97F20" w:rsidRDefault="00CE0D9D" w:rsidP="007C37A1">
      <w:pPr>
        <w:pStyle w:val="ListParagraph"/>
        <w:numPr>
          <w:ilvl w:val="0"/>
          <w:numId w:val="83"/>
        </w:numPr>
        <w:tabs>
          <w:tab w:val="left" w:pos="720"/>
        </w:tabs>
        <w:kinsoku w:val="0"/>
        <w:overflowPunct w:val="0"/>
        <w:spacing w:before="120" w:after="120"/>
        <w:ind w:left="360" w:right="29"/>
        <w:jc w:val="both"/>
        <w:rPr>
          <w:rFonts w:asciiTheme="minorHAnsi" w:hAnsiTheme="minorHAnsi" w:cstheme="minorHAnsi"/>
          <w:b/>
          <w:bCs/>
          <w:spacing w:val="1"/>
        </w:rPr>
      </w:pPr>
      <w:r w:rsidRPr="00B97F20">
        <w:rPr>
          <w:rFonts w:asciiTheme="minorHAnsi" w:hAnsiTheme="minorHAnsi" w:cstheme="minorHAnsi"/>
        </w:rPr>
        <w:t>Identifying gaps in service at local levels including to strengthen referral systems, reduce delays in providing care and enable women to seeking timely help.</w:t>
      </w:r>
    </w:p>
    <w:p w14:paraId="3551EDC7" w14:textId="77777777" w:rsidR="006A416E" w:rsidRPr="00B97F20" w:rsidRDefault="00CE0D9D" w:rsidP="007C37A1">
      <w:pPr>
        <w:pStyle w:val="ListParagraph"/>
        <w:tabs>
          <w:tab w:val="left" w:pos="900"/>
        </w:tabs>
        <w:kinsoku w:val="0"/>
        <w:overflowPunct w:val="0"/>
        <w:spacing w:before="120" w:after="120"/>
        <w:ind w:left="0" w:right="29" w:firstLine="0"/>
        <w:jc w:val="both"/>
        <w:rPr>
          <w:rFonts w:asciiTheme="minorHAnsi" w:hAnsiTheme="minorHAnsi" w:cstheme="minorHAnsi"/>
        </w:rPr>
      </w:pPr>
      <w:r w:rsidRPr="00B97F20">
        <w:rPr>
          <w:rFonts w:asciiTheme="minorHAnsi" w:hAnsiTheme="minorHAnsi" w:cstheme="minorHAnsi"/>
        </w:rPr>
        <w:t xml:space="preserve">SEA / SH </w:t>
      </w:r>
      <w:r w:rsidR="006A416E" w:rsidRPr="00B97F20">
        <w:rPr>
          <w:rFonts w:asciiTheme="minorHAnsi" w:hAnsiTheme="minorHAnsi" w:cstheme="minorHAnsi"/>
        </w:rPr>
        <w:t xml:space="preserve">and VAC </w:t>
      </w:r>
      <w:r w:rsidRPr="00B97F20">
        <w:rPr>
          <w:rFonts w:asciiTheme="minorHAnsi" w:hAnsiTheme="minorHAnsi" w:cstheme="minorHAnsi"/>
        </w:rPr>
        <w:t>risks mitigation strategies are outlined in the World Bank’s draft guidance on the SEA / SH risk screening tool which focuses on the effective implementation a Code of Conduct that explicitly prohibits SEA/SH</w:t>
      </w:r>
      <w:r w:rsidR="006A416E" w:rsidRPr="00B97F20">
        <w:rPr>
          <w:rFonts w:asciiTheme="minorHAnsi" w:hAnsiTheme="minorHAnsi" w:cstheme="minorHAnsi"/>
        </w:rPr>
        <w:t xml:space="preserve"> and VAC.</w:t>
      </w:r>
    </w:p>
    <w:p w14:paraId="27A3A66C" w14:textId="77777777" w:rsidR="006A416E" w:rsidRPr="00B97F20" w:rsidRDefault="006A416E" w:rsidP="007C37A1">
      <w:pPr>
        <w:pStyle w:val="ListParagraph"/>
        <w:tabs>
          <w:tab w:val="left" w:pos="1080"/>
        </w:tabs>
        <w:kinsoku w:val="0"/>
        <w:overflowPunct w:val="0"/>
        <w:spacing w:before="120" w:after="120"/>
        <w:ind w:left="0" w:right="29" w:firstLine="0"/>
        <w:jc w:val="both"/>
        <w:rPr>
          <w:rFonts w:asciiTheme="minorHAnsi" w:hAnsiTheme="minorHAnsi" w:cstheme="minorHAnsi"/>
        </w:rPr>
      </w:pPr>
      <w:r w:rsidRPr="00B97F20">
        <w:rPr>
          <w:rFonts w:asciiTheme="minorHAnsi" w:hAnsiTheme="minorHAnsi" w:cstheme="minorHAnsi"/>
        </w:rPr>
        <w:lastRenderedPageBreak/>
        <w:t xml:space="preserve">All project personnel </w:t>
      </w:r>
      <w:r w:rsidR="00CE0D9D" w:rsidRPr="00B97F20">
        <w:rPr>
          <w:rFonts w:asciiTheme="minorHAnsi" w:hAnsiTheme="minorHAnsi" w:cstheme="minorHAnsi"/>
        </w:rPr>
        <w:t>will be contractually required to:</w:t>
      </w:r>
    </w:p>
    <w:p w14:paraId="24284F52" w14:textId="36BEB0D5" w:rsidR="006A416E" w:rsidRPr="00B97F20" w:rsidRDefault="00CE0D9D" w:rsidP="007C37A1">
      <w:pPr>
        <w:pStyle w:val="ListParagraph"/>
        <w:numPr>
          <w:ilvl w:val="0"/>
          <w:numId w:val="84"/>
        </w:numPr>
        <w:tabs>
          <w:tab w:val="left" w:pos="720"/>
          <w:tab w:val="left" w:pos="1260"/>
        </w:tabs>
        <w:kinsoku w:val="0"/>
        <w:overflowPunct w:val="0"/>
        <w:spacing w:before="120" w:after="120"/>
        <w:ind w:left="360" w:right="29"/>
        <w:jc w:val="both"/>
        <w:rPr>
          <w:rFonts w:asciiTheme="minorHAnsi" w:hAnsiTheme="minorHAnsi" w:cstheme="minorHAnsi"/>
          <w:b/>
          <w:bCs/>
          <w:spacing w:val="1"/>
        </w:rPr>
      </w:pPr>
      <w:r w:rsidRPr="00B97F20">
        <w:rPr>
          <w:rFonts w:asciiTheme="minorHAnsi" w:hAnsiTheme="minorHAnsi" w:cstheme="minorHAnsi"/>
        </w:rPr>
        <w:t xml:space="preserve">Have a Code of Conduct that explicitly prohibits SEA/SH </w:t>
      </w:r>
      <w:r w:rsidR="006A416E" w:rsidRPr="00B97F20">
        <w:rPr>
          <w:rFonts w:asciiTheme="minorHAnsi" w:hAnsiTheme="minorHAnsi" w:cstheme="minorHAnsi"/>
        </w:rPr>
        <w:t xml:space="preserve">and </w:t>
      </w:r>
      <w:r w:rsidR="00650184" w:rsidRPr="00B97F20">
        <w:rPr>
          <w:rFonts w:asciiTheme="minorHAnsi" w:hAnsiTheme="minorHAnsi" w:cstheme="minorHAnsi"/>
        </w:rPr>
        <w:t xml:space="preserve">VAC </w:t>
      </w:r>
      <w:r w:rsidRPr="00B97F20">
        <w:rPr>
          <w:rFonts w:asciiTheme="minorHAnsi" w:hAnsiTheme="minorHAnsi" w:cstheme="minorHAnsi"/>
        </w:rPr>
        <w:t xml:space="preserve">which is signed by all Project Workers. </w:t>
      </w:r>
    </w:p>
    <w:p w14:paraId="0762E961" w14:textId="77777777" w:rsidR="00650184" w:rsidRPr="00B97F20" w:rsidRDefault="00CE0D9D" w:rsidP="007C37A1">
      <w:pPr>
        <w:pStyle w:val="ListParagraph"/>
        <w:numPr>
          <w:ilvl w:val="0"/>
          <w:numId w:val="84"/>
        </w:numPr>
        <w:tabs>
          <w:tab w:val="left" w:pos="720"/>
          <w:tab w:val="left" w:pos="1260"/>
        </w:tabs>
        <w:kinsoku w:val="0"/>
        <w:overflowPunct w:val="0"/>
        <w:spacing w:before="120" w:after="120"/>
        <w:ind w:left="360" w:right="29"/>
        <w:jc w:val="both"/>
        <w:rPr>
          <w:rFonts w:asciiTheme="minorHAnsi" w:hAnsiTheme="minorHAnsi" w:cstheme="minorHAnsi"/>
          <w:b/>
          <w:bCs/>
          <w:spacing w:val="1"/>
        </w:rPr>
      </w:pPr>
      <w:r w:rsidRPr="00B97F20">
        <w:rPr>
          <w:rFonts w:asciiTheme="minorHAnsi" w:hAnsiTheme="minorHAnsi" w:cstheme="minorHAnsi"/>
        </w:rPr>
        <w:t xml:space="preserve">Provide an induction training for all Project Workers on the SEA / SH components of the Code of Conduct. </w:t>
      </w:r>
    </w:p>
    <w:p w14:paraId="651BF8FC" w14:textId="0A8E125B" w:rsidR="00CE0D9D" w:rsidRPr="00B97F20" w:rsidRDefault="00CE0D9D" w:rsidP="007C37A1">
      <w:pPr>
        <w:pStyle w:val="ListParagraph"/>
        <w:numPr>
          <w:ilvl w:val="0"/>
          <w:numId w:val="84"/>
        </w:numPr>
        <w:tabs>
          <w:tab w:val="left" w:pos="720"/>
          <w:tab w:val="left" w:pos="1260"/>
        </w:tabs>
        <w:kinsoku w:val="0"/>
        <w:overflowPunct w:val="0"/>
        <w:spacing w:before="120" w:after="120"/>
        <w:ind w:left="360" w:right="29"/>
        <w:jc w:val="both"/>
        <w:rPr>
          <w:rFonts w:asciiTheme="minorHAnsi" w:hAnsiTheme="minorHAnsi" w:cstheme="minorHAnsi"/>
          <w:b/>
          <w:bCs/>
          <w:spacing w:val="1"/>
        </w:rPr>
      </w:pPr>
      <w:r w:rsidRPr="00B97F20">
        <w:rPr>
          <w:rFonts w:asciiTheme="minorHAnsi" w:hAnsiTheme="minorHAnsi" w:cstheme="minorHAnsi"/>
        </w:rPr>
        <w:t>Conduct awareness in communities targeted by the Project on the SEA / SH components of the Code of Conduct and how to make a report of SEA / SH to the project.</w:t>
      </w:r>
    </w:p>
    <w:p w14:paraId="16EE5159" w14:textId="77777777" w:rsidR="00D9503F" w:rsidRPr="00B97F20" w:rsidRDefault="00CE0D9D" w:rsidP="007C37A1">
      <w:pPr>
        <w:tabs>
          <w:tab w:val="left" w:pos="1080"/>
        </w:tabs>
        <w:spacing w:before="120" w:after="120" w:line="240" w:lineRule="auto"/>
        <w:ind w:right="30"/>
        <w:jc w:val="both"/>
        <w:rPr>
          <w:rFonts w:cstheme="minorHAnsi"/>
          <w:sz w:val="24"/>
          <w:szCs w:val="24"/>
        </w:rPr>
      </w:pPr>
      <w:r w:rsidRPr="00B97F20">
        <w:rPr>
          <w:rFonts w:cstheme="minorHAnsi"/>
          <w:sz w:val="24"/>
          <w:szCs w:val="24"/>
        </w:rPr>
        <w:t xml:space="preserve">The Project will assess the processes </w:t>
      </w:r>
      <w:r w:rsidR="00D9503F" w:rsidRPr="00B97F20">
        <w:rPr>
          <w:rFonts w:cstheme="minorHAnsi"/>
          <w:sz w:val="24"/>
          <w:szCs w:val="24"/>
        </w:rPr>
        <w:t xml:space="preserve">at the sub-national level </w:t>
      </w:r>
      <w:r w:rsidRPr="00B97F20">
        <w:rPr>
          <w:rFonts w:cstheme="minorHAnsi"/>
          <w:sz w:val="24"/>
          <w:szCs w:val="24"/>
        </w:rPr>
        <w:t xml:space="preserve">to prevent and respond to incidents of SEA/SH </w:t>
      </w:r>
      <w:r w:rsidR="00D9503F" w:rsidRPr="00B97F20">
        <w:rPr>
          <w:rFonts w:cstheme="minorHAnsi"/>
          <w:sz w:val="24"/>
          <w:szCs w:val="24"/>
        </w:rPr>
        <w:t xml:space="preserve">and VAC </w:t>
      </w:r>
      <w:r w:rsidRPr="00B97F20">
        <w:rPr>
          <w:rFonts w:cstheme="minorHAnsi"/>
          <w:sz w:val="24"/>
          <w:szCs w:val="24"/>
        </w:rPr>
        <w:t xml:space="preserve">and identify and resource strengthening where necessary to ensure their systems are </w:t>
      </w:r>
      <w:r w:rsidR="00D9503F" w:rsidRPr="00B97F20">
        <w:rPr>
          <w:rFonts w:cstheme="minorHAnsi"/>
          <w:sz w:val="24"/>
          <w:szCs w:val="24"/>
        </w:rPr>
        <w:t>survivor centered</w:t>
      </w:r>
      <w:r w:rsidRPr="00B97F20">
        <w:rPr>
          <w:rFonts w:cstheme="minorHAnsi"/>
          <w:sz w:val="24"/>
          <w:szCs w:val="24"/>
        </w:rPr>
        <w:t xml:space="preserve">. </w:t>
      </w:r>
    </w:p>
    <w:p w14:paraId="54A7190E" w14:textId="77777777" w:rsidR="0022223C" w:rsidRPr="00B97F20" w:rsidRDefault="00CE0D9D" w:rsidP="007C37A1">
      <w:pPr>
        <w:spacing w:before="120" w:after="120" w:line="240" w:lineRule="auto"/>
        <w:ind w:right="29"/>
        <w:jc w:val="both"/>
        <w:rPr>
          <w:rFonts w:cstheme="minorHAnsi"/>
          <w:sz w:val="24"/>
          <w:szCs w:val="24"/>
        </w:rPr>
      </w:pPr>
      <w:r w:rsidRPr="00B97F20">
        <w:rPr>
          <w:rFonts w:cstheme="minorHAnsi"/>
          <w:sz w:val="24"/>
          <w:szCs w:val="24"/>
        </w:rPr>
        <w:t>In addition, the modality of the delivery of the child nutrition grant will limit the individual decision</w:t>
      </w:r>
      <w:r w:rsidR="0022223C" w:rsidRPr="00B97F20">
        <w:rPr>
          <w:rFonts w:cstheme="minorHAnsi"/>
          <w:sz w:val="24"/>
          <w:szCs w:val="24"/>
        </w:rPr>
        <w:t>-</w:t>
      </w:r>
      <w:r w:rsidRPr="00B97F20">
        <w:rPr>
          <w:rFonts w:cstheme="minorHAnsi"/>
          <w:sz w:val="24"/>
          <w:szCs w:val="24"/>
        </w:rPr>
        <w:t xml:space="preserve">making power/discretion of Project Workers delivering services through the centralized development of robust eligibility criteria; clear and transparent communication and robust oversight of in-person transfers.  </w:t>
      </w:r>
    </w:p>
    <w:p w14:paraId="118D8DD6" w14:textId="22B53C39" w:rsidR="00CE0D9D" w:rsidRPr="00B97F20" w:rsidRDefault="0022223C" w:rsidP="007C37A1">
      <w:pPr>
        <w:spacing w:before="120" w:after="120" w:line="240" w:lineRule="auto"/>
        <w:ind w:right="29"/>
        <w:jc w:val="both"/>
        <w:rPr>
          <w:rFonts w:cstheme="minorHAnsi"/>
          <w:sz w:val="24"/>
          <w:szCs w:val="24"/>
        </w:rPr>
      </w:pPr>
      <w:r w:rsidRPr="00B97F20">
        <w:rPr>
          <w:rFonts w:cstheme="minorHAnsi"/>
          <w:b/>
          <w:bCs/>
          <w:sz w:val="24"/>
          <w:szCs w:val="24"/>
        </w:rPr>
        <w:t>Domestic and other forms of GBV</w:t>
      </w:r>
      <w:r w:rsidRPr="00B97F20">
        <w:rPr>
          <w:rFonts w:cstheme="minorHAnsi"/>
          <w:sz w:val="24"/>
          <w:szCs w:val="24"/>
        </w:rPr>
        <w:t>: t</w:t>
      </w:r>
      <w:r w:rsidR="00CE0D9D" w:rsidRPr="00B97F20">
        <w:rPr>
          <w:rFonts w:cstheme="minorHAnsi"/>
          <w:sz w:val="24"/>
          <w:szCs w:val="24"/>
        </w:rPr>
        <w:t>he CNP</w:t>
      </w:r>
      <w:r w:rsidRPr="00B97F20">
        <w:rPr>
          <w:rFonts w:cstheme="minorHAnsi"/>
          <w:sz w:val="24"/>
          <w:szCs w:val="24"/>
        </w:rPr>
        <w:t>-II</w:t>
      </w:r>
      <w:r w:rsidR="00CE0D9D" w:rsidRPr="00B97F20">
        <w:rPr>
          <w:rFonts w:cstheme="minorHAnsi"/>
          <w:sz w:val="24"/>
          <w:szCs w:val="24"/>
        </w:rPr>
        <w:t xml:space="preserve"> will integrate project strategies which prevent possible resistance and backlash from both male family members and male community members and leaders to women’s increased empowerment. Such strategies will support broader effort towards gender equality by focusing on increasing men’s support for women’s empowerment, including women’s access and control over resources and decision-making. These efforts will not reinforce harmful unequal social, cultural and gender roles which limited women to strict gender roles and will encourage men’s increased contribution to unpaid work in the household (such as child rearing and household work). </w:t>
      </w:r>
    </w:p>
    <w:p w14:paraId="1DD422E9" w14:textId="1AA3C28E" w:rsidR="0065491A" w:rsidRPr="00B97F20" w:rsidRDefault="0065491A" w:rsidP="007C37A1">
      <w:pPr>
        <w:spacing w:before="120" w:after="120" w:line="240" w:lineRule="auto"/>
        <w:ind w:right="29"/>
        <w:jc w:val="both"/>
        <w:rPr>
          <w:rFonts w:cstheme="minorHAnsi"/>
          <w:sz w:val="24"/>
          <w:szCs w:val="24"/>
        </w:rPr>
      </w:pPr>
      <w:r w:rsidRPr="00B97F20">
        <w:rPr>
          <w:rFonts w:cstheme="minorHAnsi"/>
          <w:sz w:val="24"/>
          <w:szCs w:val="24"/>
        </w:rPr>
        <w:t>Specific measures are outlined in the following:</w:t>
      </w:r>
    </w:p>
    <w:p w14:paraId="6F070292" w14:textId="29689DD7" w:rsidR="004B5F0D" w:rsidRPr="00B97F20" w:rsidRDefault="0065491A" w:rsidP="007C37A1">
      <w:pPr>
        <w:pStyle w:val="ListParagraph"/>
        <w:numPr>
          <w:ilvl w:val="0"/>
          <w:numId w:val="85"/>
        </w:numPr>
        <w:spacing w:before="120" w:after="120"/>
        <w:ind w:left="360" w:right="29"/>
        <w:jc w:val="both"/>
        <w:rPr>
          <w:rFonts w:asciiTheme="minorHAnsi" w:hAnsiTheme="minorHAnsi" w:cstheme="minorHAnsi"/>
        </w:rPr>
      </w:pPr>
      <w:r w:rsidRPr="00B97F20">
        <w:rPr>
          <w:rFonts w:asciiTheme="minorHAnsi" w:hAnsiTheme="minorHAnsi" w:cstheme="minorHAnsi"/>
          <w:b/>
          <w:bCs/>
        </w:rPr>
        <w:t>Codes of Conduct</w:t>
      </w:r>
      <w:r w:rsidR="004B5F0D" w:rsidRPr="00B97F20">
        <w:rPr>
          <w:rFonts w:asciiTheme="minorHAnsi" w:hAnsiTheme="minorHAnsi" w:cstheme="minorHAnsi"/>
          <w:b/>
          <w:bCs/>
        </w:rPr>
        <w:t xml:space="preserve">: </w:t>
      </w:r>
      <w:r w:rsidR="004B5F0D" w:rsidRPr="00B97F20">
        <w:rPr>
          <w:rFonts w:asciiTheme="minorHAnsi" w:hAnsiTheme="minorHAnsi" w:cstheme="minorHAnsi"/>
        </w:rPr>
        <w:t>the following sample of Codes of Conduct shall be integrated into the OM</w:t>
      </w:r>
    </w:p>
    <w:p w14:paraId="1E81BBD5" w14:textId="32CCBA2F" w:rsidR="004B5F0D" w:rsidRPr="00B97F20" w:rsidRDefault="004B5F0D" w:rsidP="007C37A1">
      <w:pPr>
        <w:spacing w:before="120" w:after="120" w:line="240" w:lineRule="auto"/>
        <w:ind w:right="30"/>
        <w:jc w:val="center"/>
        <w:rPr>
          <w:rFonts w:cstheme="minorHAnsi"/>
          <w:b/>
          <w:i/>
          <w:iCs/>
          <w:sz w:val="24"/>
          <w:szCs w:val="24"/>
        </w:rPr>
      </w:pPr>
      <w:r w:rsidRPr="00B97F20">
        <w:rPr>
          <w:rFonts w:cstheme="minorHAnsi"/>
          <w:b/>
          <w:i/>
          <w:iCs/>
          <w:sz w:val="24"/>
          <w:szCs w:val="24"/>
        </w:rPr>
        <w:t>Preventing Sexual Exploitation and Abuse/Sexual Harassment (SEA/SH) and Violence Against Children (VAC)</w:t>
      </w:r>
    </w:p>
    <w:p w14:paraId="720F9100" w14:textId="6E11C9FE" w:rsidR="004B5F0D" w:rsidRPr="00B97F20" w:rsidRDefault="004B5F0D" w:rsidP="007C37A1">
      <w:pPr>
        <w:spacing w:before="120" w:after="120" w:line="240" w:lineRule="auto"/>
        <w:ind w:right="30"/>
        <w:jc w:val="both"/>
        <w:rPr>
          <w:rFonts w:cstheme="minorHAnsi"/>
          <w:i/>
          <w:iCs/>
          <w:color w:val="000000"/>
          <w:sz w:val="24"/>
          <w:szCs w:val="24"/>
        </w:rPr>
      </w:pPr>
      <w:r w:rsidRPr="00B97F20">
        <w:rPr>
          <w:rFonts w:cstheme="minorHAnsi"/>
          <w:i/>
          <w:iCs/>
          <w:color w:val="000000"/>
          <w:sz w:val="24"/>
          <w:szCs w:val="24"/>
        </w:rPr>
        <w:t>I, ______________________________, acknowledge that adhering to environmental</w:t>
      </w:r>
      <w:r w:rsidRPr="00B97F20">
        <w:rPr>
          <w:rFonts w:eastAsia="Times New Roman" w:cstheme="minorHAnsi"/>
          <w:bCs/>
          <w:i/>
          <w:iCs/>
          <w:color w:val="000000"/>
          <w:sz w:val="24"/>
          <w:szCs w:val="24"/>
        </w:rPr>
        <w:t xml:space="preserve"> and</w:t>
      </w:r>
      <w:r w:rsidRPr="00B97F20">
        <w:rPr>
          <w:rFonts w:cstheme="minorHAnsi"/>
          <w:i/>
          <w:iCs/>
          <w:color w:val="000000"/>
          <w:sz w:val="24"/>
          <w:szCs w:val="24"/>
        </w:rPr>
        <w:t xml:space="preserve"> social standards, following the Project’s </w:t>
      </w:r>
      <w:r w:rsidRPr="00B97F20">
        <w:rPr>
          <w:rFonts w:eastAsia="Times New Roman" w:cstheme="minorHAnsi"/>
          <w:bCs/>
          <w:i/>
          <w:iCs/>
          <w:color w:val="000000"/>
          <w:sz w:val="24"/>
          <w:szCs w:val="24"/>
        </w:rPr>
        <w:t>Code of Conduct for the prevention of</w:t>
      </w:r>
      <w:r w:rsidRPr="00B97F20">
        <w:rPr>
          <w:rFonts w:cstheme="minorHAnsi"/>
          <w:i/>
          <w:iCs/>
          <w:color w:val="000000"/>
          <w:sz w:val="24"/>
          <w:szCs w:val="24"/>
        </w:rPr>
        <w:t xml:space="preserve"> </w:t>
      </w:r>
      <w:r w:rsidRPr="00B97F20">
        <w:rPr>
          <w:rFonts w:eastAsia="Times New Roman" w:cstheme="minorHAnsi"/>
          <w:bCs/>
          <w:i/>
          <w:iCs/>
          <w:color w:val="000000"/>
          <w:sz w:val="24"/>
          <w:szCs w:val="24"/>
        </w:rPr>
        <w:t>Sexual Exploitation and Abuse</w:t>
      </w:r>
      <w:r w:rsidRPr="00B97F20">
        <w:rPr>
          <w:rFonts w:cstheme="minorHAnsi"/>
          <w:i/>
          <w:iCs/>
          <w:color w:val="000000"/>
          <w:sz w:val="24"/>
          <w:szCs w:val="24"/>
        </w:rPr>
        <w:t xml:space="preserve">/Sexual Harassment (SEA/SH) and violence against children (VAC) </w:t>
      </w:r>
      <w:r w:rsidRPr="00B97F20">
        <w:rPr>
          <w:rFonts w:eastAsia="Times New Roman" w:cstheme="minorHAnsi"/>
          <w:bCs/>
          <w:i/>
          <w:iCs/>
          <w:color w:val="000000"/>
          <w:sz w:val="24"/>
          <w:szCs w:val="24"/>
        </w:rPr>
        <w:t xml:space="preserve">at the </w:t>
      </w:r>
      <w:r w:rsidR="0050706C" w:rsidRPr="00B97F20">
        <w:rPr>
          <w:rFonts w:eastAsia="Times New Roman" w:cstheme="minorHAnsi"/>
          <w:bCs/>
          <w:i/>
          <w:iCs/>
          <w:color w:val="000000"/>
          <w:sz w:val="24"/>
          <w:szCs w:val="24"/>
        </w:rPr>
        <w:t>workplace</w:t>
      </w:r>
      <w:r w:rsidRPr="00B97F20">
        <w:rPr>
          <w:rFonts w:eastAsia="Times New Roman" w:cstheme="minorHAnsi"/>
          <w:bCs/>
          <w:i/>
          <w:iCs/>
          <w:color w:val="000000"/>
          <w:sz w:val="24"/>
          <w:szCs w:val="24"/>
        </w:rPr>
        <w:t xml:space="preserve"> </w:t>
      </w:r>
      <w:r w:rsidRPr="00B97F20">
        <w:rPr>
          <w:rFonts w:cstheme="minorHAnsi"/>
          <w:i/>
          <w:iCs/>
          <w:color w:val="000000"/>
          <w:sz w:val="24"/>
          <w:szCs w:val="24"/>
        </w:rPr>
        <w:t xml:space="preserve">is important. </w:t>
      </w:r>
    </w:p>
    <w:p w14:paraId="5A3A96CC" w14:textId="0B551575" w:rsidR="004B5F0D" w:rsidRPr="00B97F20" w:rsidRDefault="0050706C" w:rsidP="007C37A1">
      <w:pPr>
        <w:spacing w:before="120" w:after="120" w:line="240" w:lineRule="auto"/>
        <w:ind w:right="30"/>
        <w:jc w:val="both"/>
        <w:rPr>
          <w:rFonts w:cstheme="minorHAnsi"/>
          <w:i/>
          <w:iCs/>
          <w:color w:val="000000"/>
          <w:sz w:val="24"/>
          <w:szCs w:val="24"/>
        </w:rPr>
      </w:pPr>
      <w:r w:rsidRPr="00B97F20">
        <w:rPr>
          <w:rFonts w:cstheme="minorHAnsi"/>
          <w:i/>
          <w:iCs/>
          <w:color w:val="000000"/>
          <w:sz w:val="24"/>
          <w:szCs w:val="24"/>
        </w:rPr>
        <w:t>F</w:t>
      </w:r>
      <w:r w:rsidR="004B5F0D" w:rsidRPr="00B97F20">
        <w:rPr>
          <w:rFonts w:cstheme="minorHAnsi"/>
          <w:i/>
          <w:iCs/>
          <w:color w:val="000000"/>
          <w:sz w:val="24"/>
          <w:szCs w:val="24"/>
        </w:rPr>
        <w:t>ailure to commit</w:t>
      </w:r>
      <w:r w:rsidRPr="00B97F20">
        <w:rPr>
          <w:rFonts w:cstheme="minorHAnsi"/>
          <w:i/>
          <w:iCs/>
          <w:color w:val="000000"/>
          <w:sz w:val="24"/>
          <w:szCs w:val="24"/>
        </w:rPr>
        <w:t xml:space="preserve"> </w:t>
      </w:r>
      <w:r w:rsidR="004B5F0D" w:rsidRPr="00B97F20">
        <w:rPr>
          <w:rFonts w:eastAsia="Times New Roman" w:cstheme="minorHAnsi"/>
          <w:bCs/>
          <w:i/>
          <w:iCs/>
          <w:color w:val="000000"/>
          <w:sz w:val="24"/>
          <w:szCs w:val="24"/>
        </w:rPr>
        <w:t>SEA</w:t>
      </w:r>
      <w:r w:rsidRPr="00B97F20">
        <w:rPr>
          <w:rFonts w:eastAsia="Times New Roman" w:cstheme="minorHAnsi"/>
          <w:bCs/>
          <w:i/>
          <w:iCs/>
          <w:color w:val="000000"/>
          <w:sz w:val="24"/>
          <w:szCs w:val="24"/>
        </w:rPr>
        <w:t>/SH</w:t>
      </w:r>
      <w:r w:rsidR="004B5F0D" w:rsidRPr="00B97F20">
        <w:rPr>
          <w:rFonts w:cstheme="minorHAnsi"/>
          <w:i/>
          <w:iCs/>
          <w:color w:val="000000"/>
          <w:sz w:val="24"/>
          <w:szCs w:val="24"/>
        </w:rPr>
        <w:t xml:space="preserve"> or VAC—be it on the work site, the work site’s surroundings, or the surrounding communities—to be gross misconduct and grounds for sanctions, penalties or potential termination of employment. Prosecution by the police of those who commit </w:t>
      </w:r>
      <w:r w:rsidR="004B5F0D" w:rsidRPr="00B97F20">
        <w:rPr>
          <w:rFonts w:eastAsia="Times New Roman" w:cstheme="minorHAnsi"/>
          <w:bCs/>
          <w:i/>
          <w:iCs/>
          <w:color w:val="000000"/>
          <w:sz w:val="24"/>
          <w:szCs w:val="24"/>
        </w:rPr>
        <w:t>SEA</w:t>
      </w:r>
      <w:r w:rsidRPr="00B97F20">
        <w:rPr>
          <w:rFonts w:eastAsia="Times New Roman" w:cstheme="minorHAnsi"/>
          <w:bCs/>
          <w:i/>
          <w:iCs/>
          <w:color w:val="000000"/>
          <w:sz w:val="24"/>
          <w:szCs w:val="24"/>
        </w:rPr>
        <w:t>/SH</w:t>
      </w:r>
      <w:r w:rsidR="004B5F0D" w:rsidRPr="00B97F20">
        <w:rPr>
          <w:rFonts w:cstheme="minorHAnsi"/>
          <w:i/>
          <w:iCs/>
          <w:color w:val="000000"/>
          <w:sz w:val="24"/>
          <w:szCs w:val="24"/>
        </w:rPr>
        <w:t xml:space="preserve"> or VAC may be pursued if appropriate.</w:t>
      </w:r>
    </w:p>
    <w:p w14:paraId="14B7FC3C" w14:textId="77777777" w:rsidR="004B5F0D" w:rsidRPr="00B97F20" w:rsidRDefault="004B5F0D" w:rsidP="007C37A1">
      <w:pPr>
        <w:spacing w:before="120" w:after="120" w:line="240" w:lineRule="auto"/>
        <w:ind w:right="30"/>
        <w:rPr>
          <w:rFonts w:cstheme="minorHAnsi"/>
          <w:b/>
          <w:i/>
          <w:iCs/>
          <w:color w:val="000000"/>
          <w:sz w:val="24"/>
          <w:szCs w:val="24"/>
        </w:rPr>
      </w:pPr>
      <w:r w:rsidRPr="00B97F20">
        <w:rPr>
          <w:rFonts w:cstheme="minorHAnsi"/>
          <w:b/>
          <w:i/>
          <w:iCs/>
          <w:color w:val="000000"/>
          <w:sz w:val="24"/>
          <w:szCs w:val="24"/>
        </w:rPr>
        <w:t>I agree that while working on the Project I will:</w:t>
      </w:r>
    </w:p>
    <w:p w14:paraId="642A9AD6" w14:textId="77777777" w:rsidR="0050706C" w:rsidRPr="00B97F20" w:rsidRDefault="004B5F0D" w:rsidP="007C37A1">
      <w:pPr>
        <w:pStyle w:val="ListParagraph"/>
        <w:numPr>
          <w:ilvl w:val="0"/>
          <w:numId w:val="86"/>
        </w:numPr>
        <w:autoSpaceDE/>
        <w:autoSpaceDN/>
        <w:adjustRightInd/>
        <w:spacing w:before="120" w:after="120"/>
        <w:ind w:left="360" w:right="30"/>
        <w:jc w:val="both"/>
        <w:rPr>
          <w:rFonts w:asciiTheme="minorHAnsi" w:hAnsiTheme="minorHAnsi" w:cstheme="minorHAnsi"/>
          <w:i/>
          <w:iCs/>
        </w:rPr>
      </w:pPr>
      <w:r w:rsidRPr="00B97F20">
        <w:rPr>
          <w:rFonts w:asciiTheme="minorHAnsi" w:hAnsiTheme="minorHAnsi" w:cstheme="minorHAnsi"/>
          <w:i/>
          <w:iCs/>
          <w:color w:val="000000"/>
        </w:rPr>
        <w:t xml:space="preserve">Attend and actively participate in training courses related to </w:t>
      </w:r>
      <w:r w:rsidR="0050706C" w:rsidRPr="00B97F20">
        <w:rPr>
          <w:rFonts w:asciiTheme="minorHAnsi" w:eastAsia="Times New Roman" w:hAnsiTheme="minorHAnsi" w:cstheme="minorHAnsi"/>
          <w:bCs/>
          <w:i/>
          <w:iCs/>
          <w:color w:val="000000"/>
        </w:rPr>
        <w:t>SEA/SH</w:t>
      </w:r>
      <w:r w:rsidRPr="00B97F20">
        <w:rPr>
          <w:rFonts w:asciiTheme="minorHAnsi" w:hAnsiTheme="minorHAnsi" w:cstheme="minorHAnsi"/>
          <w:i/>
          <w:iCs/>
          <w:color w:val="000000"/>
        </w:rPr>
        <w:t xml:space="preserve"> and VAC as requested by my employer. </w:t>
      </w:r>
    </w:p>
    <w:p w14:paraId="022A59EB" w14:textId="77777777" w:rsidR="0050706C" w:rsidRPr="00B97F20" w:rsidRDefault="004B5F0D" w:rsidP="007C37A1">
      <w:pPr>
        <w:pStyle w:val="ListParagraph"/>
        <w:numPr>
          <w:ilvl w:val="0"/>
          <w:numId w:val="86"/>
        </w:numPr>
        <w:autoSpaceDE/>
        <w:autoSpaceDN/>
        <w:adjustRightInd/>
        <w:spacing w:before="120" w:after="120"/>
        <w:ind w:left="360" w:right="30"/>
        <w:jc w:val="both"/>
        <w:rPr>
          <w:rFonts w:asciiTheme="minorHAnsi" w:hAnsiTheme="minorHAnsi" w:cstheme="minorHAnsi"/>
          <w:i/>
          <w:iCs/>
        </w:rPr>
      </w:pPr>
      <w:r w:rsidRPr="00B97F20">
        <w:rPr>
          <w:rFonts w:asciiTheme="minorHAnsi" w:hAnsiTheme="minorHAnsi" w:cstheme="minorHAnsi"/>
          <w:i/>
          <w:iCs/>
          <w:color w:val="000000"/>
        </w:rPr>
        <w:t>Not drink alcohol or use narcotics or other substances, which can impair faculties before or during work activities.</w:t>
      </w:r>
    </w:p>
    <w:p w14:paraId="24D59B54" w14:textId="77777777" w:rsidR="0050706C" w:rsidRPr="00B97F20" w:rsidRDefault="004B5F0D" w:rsidP="007C37A1">
      <w:pPr>
        <w:pStyle w:val="ListParagraph"/>
        <w:numPr>
          <w:ilvl w:val="0"/>
          <w:numId w:val="86"/>
        </w:numPr>
        <w:autoSpaceDE/>
        <w:autoSpaceDN/>
        <w:adjustRightInd/>
        <w:spacing w:before="120" w:after="120"/>
        <w:ind w:left="360" w:right="30"/>
        <w:jc w:val="both"/>
        <w:rPr>
          <w:rFonts w:asciiTheme="minorHAnsi" w:hAnsiTheme="minorHAnsi" w:cstheme="minorHAnsi"/>
          <w:i/>
          <w:iCs/>
        </w:rPr>
      </w:pPr>
      <w:r w:rsidRPr="00B97F20">
        <w:rPr>
          <w:rFonts w:asciiTheme="minorHAnsi" w:hAnsiTheme="minorHAnsi" w:cstheme="minorHAnsi"/>
          <w:i/>
          <w:iCs/>
          <w:color w:val="000000"/>
        </w:rPr>
        <w:t>Consent to a police background check.</w:t>
      </w:r>
    </w:p>
    <w:p w14:paraId="2D1AF8DD" w14:textId="77777777" w:rsidR="0050706C" w:rsidRPr="00B97F20" w:rsidRDefault="004B5F0D" w:rsidP="007C37A1">
      <w:pPr>
        <w:pStyle w:val="ListParagraph"/>
        <w:numPr>
          <w:ilvl w:val="0"/>
          <w:numId w:val="86"/>
        </w:numPr>
        <w:autoSpaceDE/>
        <w:autoSpaceDN/>
        <w:adjustRightInd/>
        <w:spacing w:before="120" w:after="120"/>
        <w:ind w:left="360" w:right="30"/>
        <w:jc w:val="both"/>
        <w:rPr>
          <w:rFonts w:asciiTheme="minorHAnsi" w:hAnsiTheme="minorHAnsi" w:cstheme="minorHAnsi"/>
          <w:i/>
          <w:iCs/>
        </w:rPr>
      </w:pPr>
      <w:r w:rsidRPr="00B97F20">
        <w:rPr>
          <w:rFonts w:asciiTheme="minorHAnsi" w:hAnsiTheme="minorHAnsi" w:cstheme="minorHAnsi"/>
          <w:i/>
          <w:iCs/>
          <w:color w:val="000000"/>
        </w:rPr>
        <w:lastRenderedPageBreak/>
        <w:t>Treat women, children (persons under the age of 18), and men with respect regardless of race, color, language, religion, political or other opinion, national, ethnic or social origin, property, disability, birth or other status.</w:t>
      </w:r>
    </w:p>
    <w:p w14:paraId="4E08F8C9" w14:textId="77777777" w:rsidR="0050706C" w:rsidRPr="00B97F20" w:rsidRDefault="004B5F0D" w:rsidP="007C37A1">
      <w:pPr>
        <w:pStyle w:val="ListParagraph"/>
        <w:numPr>
          <w:ilvl w:val="0"/>
          <w:numId w:val="86"/>
        </w:numPr>
        <w:autoSpaceDE/>
        <w:autoSpaceDN/>
        <w:adjustRightInd/>
        <w:spacing w:before="120" w:after="120"/>
        <w:ind w:left="360" w:right="30"/>
        <w:jc w:val="both"/>
        <w:rPr>
          <w:rFonts w:asciiTheme="minorHAnsi" w:hAnsiTheme="minorHAnsi" w:cstheme="minorHAnsi"/>
          <w:i/>
          <w:iCs/>
        </w:rPr>
      </w:pPr>
      <w:r w:rsidRPr="00B97F20">
        <w:rPr>
          <w:rFonts w:asciiTheme="minorHAnsi" w:hAnsiTheme="minorHAnsi" w:cstheme="minorHAnsi"/>
          <w:i/>
          <w:iCs/>
          <w:color w:val="000000"/>
        </w:rPr>
        <w:t>Not use language or behavior towards women, children or men that is inappropriate, harassing, abusive, sexually provocative, demeaning or culturally inappropriate.</w:t>
      </w:r>
    </w:p>
    <w:p w14:paraId="029D1F31" w14:textId="1AFC778E" w:rsidR="0050706C" w:rsidRPr="00B97F20" w:rsidRDefault="004B5F0D" w:rsidP="007C37A1">
      <w:pPr>
        <w:pStyle w:val="ListParagraph"/>
        <w:numPr>
          <w:ilvl w:val="0"/>
          <w:numId w:val="86"/>
        </w:numPr>
        <w:autoSpaceDE/>
        <w:autoSpaceDN/>
        <w:adjustRightInd/>
        <w:spacing w:before="120" w:after="120"/>
        <w:ind w:left="360" w:right="30"/>
        <w:jc w:val="both"/>
        <w:rPr>
          <w:rFonts w:asciiTheme="minorHAnsi" w:hAnsiTheme="minorHAnsi" w:cstheme="minorHAnsi"/>
          <w:i/>
          <w:iCs/>
        </w:rPr>
      </w:pPr>
      <w:r w:rsidRPr="00B97F20">
        <w:rPr>
          <w:rFonts w:asciiTheme="minorHAnsi" w:hAnsiTheme="minorHAnsi" w:cstheme="minorHAnsi"/>
          <w:i/>
          <w:iCs/>
        </w:rPr>
        <w:t>Not engage in sexual harassment—for instance, making unwelcome sexual advances, requests for sexual favors, and other verbal or physical conduct, of a sexual nature, including subtle acts of such behavior (e.g.</w:t>
      </w:r>
      <w:r w:rsidR="0050706C" w:rsidRPr="00B97F20">
        <w:rPr>
          <w:rFonts w:asciiTheme="minorHAnsi" w:hAnsiTheme="minorHAnsi" w:cstheme="minorHAnsi"/>
          <w:i/>
          <w:iCs/>
        </w:rPr>
        <w:t>,</w:t>
      </w:r>
      <w:r w:rsidRPr="00B97F20">
        <w:rPr>
          <w:rFonts w:asciiTheme="minorHAnsi" w:hAnsiTheme="minorHAnsi" w:cstheme="minorHAnsi"/>
          <w:i/>
          <w:iCs/>
        </w:rPr>
        <w:t xml:space="preserve"> looking somebody up and down; kissing, howling or smacking sounds; hanging around somebody; whistling and catcalls; giving personal gifts; making comments about somebody’s sex life; etc.)</w:t>
      </w:r>
      <w:r w:rsidR="0050706C" w:rsidRPr="00B97F20">
        <w:rPr>
          <w:rFonts w:asciiTheme="minorHAnsi" w:hAnsiTheme="minorHAnsi" w:cstheme="minorHAnsi"/>
          <w:i/>
          <w:iCs/>
        </w:rPr>
        <w:t>.</w:t>
      </w:r>
    </w:p>
    <w:p w14:paraId="16D011E9" w14:textId="77777777" w:rsidR="0050706C" w:rsidRPr="00B97F20" w:rsidRDefault="004B5F0D" w:rsidP="007C37A1">
      <w:pPr>
        <w:pStyle w:val="ListParagraph"/>
        <w:numPr>
          <w:ilvl w:val="0"/>
          <w:numId w:val="86"/>
        </w:numPr>
        <w:autoSpaceDE/>
        <w:autoSpaceDN/>
        <w:adjustRightInd/>
        <w:spacing w:before="120" w:after="120"/>
        <w:ind w:left="360" w:right="30"/>
        <w:jc w:val="both"/>
        <w:rPr>
          <w:rFonts w:asciiTheme="minorHAnsi" w:hAnsiTheme="minorHAnsi" w:cstheme="minorHAnsi"/>
          <w:i/>
          <w:iCs/>
        </w:rPr>
      </w:pPr>
      <w:r w:rsidRPr="00B97F20">
        <w:rPr>
          <w:rFonts w:asciiTheme="minorHAnsi" w:hAnsiTheme="minorHAnsi" w:cstheme="minorHAnsi"/>
          <w:i/>
          <w:iCs/>
          <w:color w:val="000000"/>
        </w:rPr>
        <w:t>Not engage in sexual favors—</w:t>
      </w:r>
      <w:r w:rsidRPr="00B97F20">
        <w:rPr>
          <w:rFonts w:asciiTheme="minorHAnsi" w:hAnsiTheme="minorHAnsi" w:cstheme="minorHAnsi"/>
          <w:i/>
          <w:iCs/>
        </w:rPr>
        <w:t>for instance, making promises of favorable treatment dependent on sexual acts</w:t>
      </w:r>
      <w:r w:rsidRPr="00B97F20">
        <w:rPr>
          <w:rFonts w:asciiTheme="minorHAnsi" w:hAnsiTheme="minorHAnsi" w:cstheme="minorHAnsi"/>
          <w:i/>
          <w:iCs/>
          <w:color w:val="000000"/>
        </w:rPr>
        <w:t xml:space="preserve">—or other forms of humiliating, degrading or exploitative behavior. </w:t>
      </w:r>
    </w:p>
    <w:p w14:paraId="7A12A9B7" w14:textId="77777777" w:rsidR="0050706C" w:rsidRPr="00B97F20" w:rsidRDefault="004B5F0D" w:rsidP="007C37A1">
      <w:pPr>
        <w:pStyle w:val="ListParagraph"/>
        <w:numPr>
          <w:ilvl w:val="0"/>
          <w:numId w:val="86"/>
        </w:numPr>
        <w:autoSpaceDE/>
        <w:autoSpaceDN/>
        <w:adjustRightInd/>
        <w:spacing w:before="120" w:after="120"/>
        <w:ind w:left="360" w:right="30"/>
        <w:jc w:val="both"/>
        <w:rPr>
          <w:rFonts w:asciiTheme="minorHAnsi" w:hAnsiTheme="minorHAnsi" w:cstheme="minorHAnsi"/>
          <w:i/>
          <w:iCs/>
        </w:rPr>
      </w:pPr>
      <w:r w:rsidRPr="00B97F20">
        <w:rPr>
          <w:rFonts w:asciiTheme="minorHAnsi" w:hAnsiTheme="minorHAnsi" w:cstheme="minorHAnsi"/>
          <w:i/>
          <w:iCs/>
          <w:color w:val="000000"/>
        </w:rPr>
        <w:t>Not participate in sexual contact or activity with children—including grooming or contact through digital media. Mistaken belief regarding the age of a child is not a defense. Consent from the child is also not a defense or excuse.</w:t>
      </w:r>
    </w:p>
    <w:p w14:paraId="69545D4C" w14:textId="77777777" w:rsidR="0050706C" w:rsidRPr="00B97F20" w:rsidRDefault="5754787B" w:rsidP="007C37A1">
      <w:pPr>
        <w:pStyle w:val="ListParagraph"/>
        <w:numPr>
          <w:ilvl w:val="0"/>
          <w:numId w:val="86"/>
        </w:numPr>
        <w:autoSpaceDE/>
        <w:autoSpaceDN/>
        <w:adjustRightInd/>
        <w:spacing w:before="120" w:after="120"/>
        <w:ind w:left="360" w:right="30"/>
        <w:jc w:val="both"/>
        <w:rPr>
          <w:rFonts w:asciiTheme="minorHAnsi" w:hAnsiTheme="minorHAnsi" w:cstheme="minorBidi"/>
          <w:i/>
          <w:iCs/>
        </w:rPr>
      </w:pPr>
      <w:r w:rsidRPr="7B4010DD">
        <w:rPr>
          <w:rFonts w:asciiTheme="minorHAnsi" w:hAnsiTheme="minorHAnsi" w:cstheme="minorBidi"/>
          <w:i/>
          <w:iCs/>
        </w:rPr>
        <w:t>Unless there is the full consent</w:t>
      </w:r>
      <w:r w:rsidR="004B5F0D" w:rsidRPr="7B4010DD">
        <w:rPr>
          <w:rStyle w:val="FootnoteReference"/>
          <w:rFonts w:asciiTheme="minorHAnsi" w:hAnsiTheme="minorHAnsi" w:cstheme="minorBidi"/>
          <w:i/>
          <w:iCs/>
        </w:rPr>
        <w:footnoteReference w:id="4"/>
      </w:r>
      <w:r w:rsidRPr="7B4010DD">
        <w:rPr>
          <w:rFonts w:asciiTheme="minorHAnsi" w:hAnsiTheme="minorHAnsi" w:cstheme="minorBidi"/>
          <w:i/>
          <w:iCs/>
        </w:rPr>
        <w:t xml:space="preserve"> by all parties involved, I will not have sexual interactions with members of the surrounding communities. </w:t>
      </w:r>
      <w:r w:rsidRPr="7B4010DD">
        <w:rPr>
          <w:rFonts w:asciiTheme="minorHAnsi" w:hAnsiTheme="minorHAnsi" w:cstheme="minorBidi"/>
          <w:i/>
          <w:iCs/>
          <w:color w:val="000000"/>
        </w:rPr>
        <w:t>This includes relationships involving the withholding or promise of actual provision of benefits (monetary or non-monetary) to community members in exchange for sex – such sexual activity is considered “non-consensual” within the scope of this Code.</w:t>
      </w:r>
    </w:p>
    <w:p w14:paraId="346C6AED" w14:textId="6E56DD50" w:rsidR="004B5F0D" w:rsidRPr="00B97F20" w:rsidRDefault="004B5F0D" w:rsidP="007C37A1">
      <w:pPr>
        <w:pStyle w:val="ListParagraph"/>
        <w:numPr>
          <w:ilvl w:val="0"/>
          <w:numId w:val="86"/>
        </w:numPr>
        <w:autoSpaceDE/>
        <w:autoSpaceDN/>
        <w:adjustRightInd/>
        <w:spacing w:before="120" w:after="120"/>
        <w:ind w:left="360" w:right="30"/>
        <w:jc w:val="both"/>
        <w:rPr>
          <w:rFonts w:asciiTheme="minorHAnsi" w:hAnsiTheme="minorHAnsi" w:cstheme="minorHAnsi"/>
          <w:i/>
          <w:iCs/>
        </w:rPr>
      </w:pPr>
      <w:r w:rsidRPr="00B97F20">
        <w:rPr>
          <w:rFonts w:asciiTheme="minorHAnsi" w:hAnsiTheme="minorHAnsi" w:cstheme="minorHAnsi"/>
          <w:i/>
          <w:iCs/>
          <w:color w:val="000000"/>
        </w:rPr>
        <w:t xml:space="preserve">Report through the FGRM or to my manager any </w:t>
      </w:r>
      <w:r w:rsidRPr="00B97F20">
        <w:rPr>
          <w:rFonts w:asciiTheme="minorHAnsi" w:hAnsiTheme="minorHAnsi" w:cstheme="minorHAnsi"/>
          <w:i/>
          <w:iCs/>
        </w:rPr>
        <w:t>suspected or actual SEA</w:t>
      </w:r>
      <w:r w:rsidR="0050706C" w:rsidRPr="00B97F20">
        <w:rPr>
          <w:rFonts w:asciiTheme="minorHAnsi" w:hAnsiTheme="minorHAnsi" w:cstheme="minorHAnsi"/>
          <w:i/>
          <w:iCs/>
        </w:rPr>
        <w:t>/SH</w:t>
      </w:r>
      <w:r w:rsidRPr="00B97F20">
        <w:rPr>
          <w:rFonts w:asciiTheme="minorHAnsi" w:hAnsiTheme="minorHAnsi" w:cstheme="minorHAnsi"/>
          <w:i/>
          <w:iCs/>
        </w:rPr>
        <w:t xml:space="preserve"> or VAC by a fellow worker</w:t>
      </w:r>
      <w:r w:rsidRPr="00B97F20">
        <w:rPr>
          <w:rFonts w:asciiTheme="minorHAnsi" w:hAnsiTheme="minorHAnsi" w:cstheme="minorHAnsi"/>
          <w:i/>
          <w:iCs/>
          <w:color w:val="000000"/>
        </w:rPr>
        <w:t xml:space="preserve">, whether employed by my company or not, or any breaches of this Code of Conduct. </w:t>
      </w:r>
    </w:p>
    <w:p w14:paraId="3E4EE3AF" w14:textId="77777777" w:rsidR="004B5F0D" w:rsidRPr="00B97F20" w:rsidRDefault="004B5F0D" w:rsidP="007C37A1">
      <w:pPr>
        <w:spacing w:before="120" w:after="120" w:line="240" w:lineRule="auto"/>
        <w:ind w:right="30"/>
        <w:rPr>
          <w:rFonts w:cstheme="minorHAnsi"/>
          <w:b/>
          <w:i/>
          <w:iCs/>
          <w:color w:val="000000"/>
          <w:sz w:val="24"/>
          <w:szCs w:val="24"/>
        </w:rPr>
      </w:pPr>
      <w:r w:rsidRPr="00B97F20">
        <w:rPr>
          <w:rFonts w:cstheme="minorHAnsi"/>
          <w:b/>
          <w:i/>
          <w:iCs/>
          <w:color w:val="000000"/>
          <w:sz w:val="24"/>
          <w:szCs w:val="24"/>
        </w:rPr>
        <w:t>With regard to children under the age of 18, I will:</w:t>
      </w:r>
    </w:p>
    <w:p w14:paraId="73818564" w14:textId="77777777" w:rsidR="004B5F0D" w:rsidRPr="00B97F20" w:rsidRDefault="004B5F0D" w:rsidP="007C37A1">
      <w:pPr>
        <w:pStyle w:val="ListParagraph"/>
        <w:numPr>
          <w:ilvl w:val="0"/>
          <w:numId w:val="87"/>
        </w:numPr>
        <w:autoSpaceDE/>
        <w:autoSpaceDN/>
        <w:adjustRightInd/>
        <w:spacing w:before="120" w:after="120"/>
        <w:ind w:left="360" w:right="30"/>
        <w:jc w:val="both"/>
        <w:rPr>
          <w:rFonts w:asciiTheme="minorHAnsi" w:hAnsiTheme="minorHAnsi" w:cstheme="minorHAnsi"/>
          <w:i/>
          <w:iCs/>
          <w:color w:val="000000"/>
        </w:rPr>
      </w:pPr>
      <w:r w:rsidRPr="00B97F20">
        <w:rPr>
          <w:rFonts w:asciiTheme="minorHAnsi" w:hAnsiTheme="minorHAnsi" w:cstheme="minorHAnsi"/>
          <w:i/>
          <w:iCs/>
          <w:color w:val="000000"/>
        </w:rPr>
        <w:t>Wherever possible, ensure that another adult is present when working in the proximity of children.</w:t>
      </w:r>
    </w:p>
    <w:p w14:paraId="4AE73ED8" w14:textId="77777777" w:rsidR="004B5F0D" w:rsidRPr="00B97F20" w:rsidRDefault="004B5F0D" w:rsidP="007C37A1">
      <w:pPr>
        <w:pStyle w:val="ListParagraph"/>
        <w:numPr>
          <w:ilvl w:val="0"/>
          <w:numId w:val="87"/>
        </w:numPr>
        <w:autoSpaceDE/>
        <w:autoSpaceDN/>
        <w:adjustRightInd/>
        <w:spacing w:before="120" w:after="120"/>
        <w:ind w:left="360" w:right="30"/>
        <w:jc w:val="both"/>
        <w:rPr>
          <w:rFonts w:asciiTheme="minorHAnsi" w:hAnsiTheme="minorHAnsi" w:cstheme="minorHAnsi"/>
          <w:i/>
          <w:iCs/>
          <w:color w:val="000000"/>
        </w:rPr>
      </w:pPr>
      <w:r w:rsidRPr="00B97F20">
        <w:rPr>
          <w:rFonts w:asciiTheme="minorHAnsi" w:hAnsiTheme="minorHAnsi" w:cstheme="minorHAnsi"/>
          <w:i/>
          <w:iCs/>
          <w:color w:val="000000"/>
        </w:rPr>
        <w:t>Not invite unaccompanied children unrelated to my family into my home, unless they are at immediate risk of injury or in physical danger.</w:t>
      </w:r>
    </w:p>
    <w:p w14:paraId="2462C581" w14:textId="77777777" w:rsidR="004B5F0D" w:rsidRPr="00B97F20" w:rsidRDefault="004B5F0D" w:rsidP="007C37A1">
      <w:pPr>
        <w:pStyle w:val="ListParagraph"/>
        <w:numPr>
          <w:ilvl w:val="0"/>
          <w:numId w:val="87"/>
        </w:numPr>
        <w:autoSpaceDE/>
        <w:autoSpaceDN/>
        <w:adjustRightInd/>
        <w:spacing w:before="120" w:after="120"/>
        <w:ind w:left="360" w:right="30"/>
        <w:jc w:val="both"/>
        <w:rPr>
          <w:rFonts w:asciiTheme="minorHAnsi" w:hAnsiTheme="minorHAnsi" w:cstheme="minorHAnsi"/>
          <w:i/>
          <w:iCs/>
          <w:color w:val="000000"/>
        </w:rPr>
      </w:pPr>
      <w:r w:rsidRPr="00B97F20">
        <w:rPr>
          <w:rFonts w:asciiTheme="minorHAnsi" w:hAnsiTheme="minorHAnsi" w:cstheme="minorHAnsi"/>
          <w:i/>
          <w:iCs/>
          <w:color w:val="000000"/>
        </w:rPr>
        <w:t xml:space="preserve">Not use any computers, mobile phones, video and digital cameras or any other medium </w:t>
      </w:r>
      <w:r w:rsidRPr="00B97F20">
        <w:rPr>
          <w:rFonts w:asciiTheme="minorHAnsi" w:hAnsiTheme="minorHAnsi" w:cstheme="minorHAnsi"/>
          <w:i/>
          <w:iCs/>
        </w:rPr>
        <w:t>to exploit or harass children or to access child pornography</w:t>
      </w:r>
      <w:r w:rsidRPr="00B97F20">
        <w:rPr>
          <w:rFonts w:asciiTheme="minorHAnsi" w:hAnsiTheme="minorHAnsi" w:cstheme="minorHAnsi"/>
          <w:i/>
          <w:iCs/>
          <w:color w:val="000000"/>
        </w:rPr>
        <w:t xml:space="preserve"> (see also “Use of children's images for work related purposes” below).</w:t>
      </w:r>
    </w:p>
    <w:p w14:paraId="7C3FA1F4" w14:textId="77777777" w:rsidR="004B5F0D" w:rsidRPr="00B97F20" w:rsidRDefault="004B5F0D" w:rsidP="007C37A1">
      <w:pPr>
        <w:pStyle w:val="ListParagraph"/>
        <w:numPr>
          <w:ilvl w:val="0"/>
          <w:numId w:val="87"/>
        </w:numPr>
        <w:autoSpaceDE/>
        <w:autoSpaceDN/>
        <w:adjustRightInd/>
        <w:spacing w:before="120" w:after="120"/>
        <w:ind w:left="360" w:right="30"/>
        <w:jc w:val="both"/>
        <w:rPr>
          <w:rFonts w:asciiTheme="minorHAnsi" w:hAnsiTheme="minorHAnsi" w:cstheme="minorHAnsi"/>
          <w:i/>
          <w:iCs/>
          <w:color w:val="000000"/>
        </w:rPr>
      </w:pPr>
      <w:r w:rsidRPr="00B97F20">
        <w:rPr>
          <w:rFonts w:asciiTheme="minorHAnsi" w:hAnsiTheme="minorHAnsi" w:cstheme="minorHAnsi"/>
          <w:i/>
          <w:iCs/>
          <w:color w:val="000000"/>
        </w:rPr>
        <w:t>Refrain from physical punishment or discipline of children.</w:t>
      </w:r>
    </w:p>
    <w:p w14:paraId="30350168" w14:textId="77777777" w:rsidR="004B5F0D" w:rsidRPr="00B97F20" w:rsidRDefault="004B5F0D" w:rsidP="007C37A1">
      <w:pPr>
        <w:pStyle w:val="ListParagraph"/>
        <w:numPr>
          <w:ilvl w:val="0"/>
          <w:numId w:val="87"/>
        </w:numPr>
        <w:autoSpaceDE/>
        <w:autoSpaceDN/>
        <w:adjustRightInd/>
        <w:spacing w:before="120" w:after="120"/>
        <w:ind w:left="360" w:right="30"/>
        <w:jc w:val="both"/>
        <w:rPr>
          <w:rFonts w:asciiTheme="minorHAnsi" w:hAnsiTheme="minorHAnsi" w:cstheme="minorHAnsi"/>
          <w:i/>
          <w:iCs/>
          <w:color w:val="000000"/>
        </w:rPr>
      </w:pPr>
      <w:r w:rsidRPr="00B97F20">
        <w:rPr>
          <w:rFonts w:asciiTheme="minorHAnsi" w:hAnsiTheme="minorHAnsi" w:cstheme="minorHAnsi"/>
          <w:i/>
          <w:iCs/>
          <w:color w:val="000000"/>
        </w:rPr>
        <w:t>Refrain from hiring children for domestic or other labor below the minimum age of 14 unless national law specifies a higher age, or which places them at significant risk of injury.</w:t>
      </w:r>
    </w:p>
    <w:p w14:paraId="7C83BEAE" w14:textId="77777777" w:rsidR="004B5F0D" w:rsidRPr="00B97F20" w:rsidRDefault="004B5F0D" w:rsidP="007C37A1">
      <w:pPr>
        <w:pStyle w:val="ListParagraph"/>
        <w:numPr>
          <w:ilvl w:val="0"/>
          <w:numId w:val="87"/>
        </w:numPr>
        <w:autoSpaceDE/>
        <w:autoSpaceDN/>
        <w:adjustRightInd/>
        <w:spacing w:before="120" w:after="120"/>
        <w:ind w:left="360" w:right="30"/>
        <w:jc w:val="both"/>
        <w:rPr>
          <w:rFonts w:asciiTheme="minorHAnsi" w:hAnsiTheme="minorHAnsi" w:cstheme="minorHAnsi"/>
          <w:i/>
          <w:iCs/>
          <w:color w:val="000000"/>
        </w:rPr>
      </w:pPr>
      <w:r w:rsidRPr="00B97F20">
        <w:rPr>
          <w:rFonts w:asciiTheme="minorHAnsi" w:hAnsiTheme="minorHAnsi" w:cstheme="minorHAnsi"/>
          <w:i/>
          <w:iCs/>
          <w:color w:val="000000"/>
        </w:rPr>
        <w:t xml:space="preserve">Comply with all relevant local legislation, including labor laws in relation to child labor and the World Bank’s safeguard policies on child labor and minimum age. </w:t>
      </w:r>
    </w:p>
    <w:p w14:paraId="6537197C" w14:textId="77777777" w:rsidR="004B5F0D" w:rsidRPr="00B97F20" w:rsidRDefault="004B5F0D" w:rsidP="007C37A1">
      <w:pPr>
        <w:pStyle w:val="ListParagraph"/>
        <w:numPr>
          <w:ilvl w:val="0"/>
          <w:numId w:val="87"/>
        </w:numPr>
        <w:autoSpaceDE/>
        <w:autoSpaceDN/>
        <w:adjustRightInd/>
        <w:spacing w:before="120" w:after="120"/>
        <w:ind w:left="360" w:right="30"/>
        <w:jc w:val="both"/>
        <w:rPr>
          <w:rFonts w:asciiTheme="minorHAnsi" w:hAnsiTheme="minorHAnsi" w:cstheme="minorHAnsi"/>
          <w:i/>
          <w:iCs/>
          <w:color w:val="000000"/>
        </w:rPr>
      </w:pPr>
      <w:r w:rsidRPr="00B97F20">
        <w:rPr>
          <w:rFonts w:asciiTheme="minorHAnsi" w:hAnsiTheme="minorHAnsi" w:cstheme="minorHAnsi"/>
          <w:i/>
          <w:iCs/>
          <w:color w:val="000000"/>
        </w:rPr>
        <w:lastRenderedPageBreak/>
        <w:t>Take appropriate caution when photographing or filming children.</w:t>
      </w:r>
    </w:p>
    <w:p w14:paraId="0DD9A90E" w14:textId="77777777" w:rsidR="004B5F0D" w:rsidRPr="00B97F20" w:rsidRDefault="004B5F0D" w:rsidP="007C37A1">
      <w:pPr>
        <w:spacing w:before="120" w:after="120" w:line="240" w:lineRule="auto"/>
        <w:ind w:right="30"/>
        <w:rPr>
          <w:rFonts w:cstheme="minorHAnsi"/>
          <w:b/>
          <w:i/>
          <w:iCs/>
          <w:color w:val="000000"/>
          <w:sz w:val="24"/>
          <w:szCs w:val="24"/>
        </w:rPr>
      </w:pPr>
      <w:r w:rsidRPr="00B97F20">
        <w:rPr>
          <w:rFonts w:cstheme="minorHAnsi"/>
          <w:b/>
          <w:i/>
          <w:iCs/>
          <w:color w:val="000000"/>
          <w:sz w:val="24"/>
          <w:szCs w:val="24"/>
        </w:rPr>
        <w:t>Use of children's images for work related purposes</w:t>
      </w:r>
    </w:p>
    <w:p w14:paraId="72372CFD" w14:textId="77777777" w:rsidR="004B5F0D" w:rsidRPr="00B97F20" w:rsidRDefault="004B5F0D" w:rsidP="007C37A1">
      <w:pPr>
        <w:spacing w:before="120" w:after="120" w:line="240" w:lineRule="auto"/>
        <w:ind w:right="30"/>
        <w:rPr>
          <w:rFonts w:cstheme="minorHAnsi"/>
          <w:i/>
          <w:iCs/>
          <w:color w:val="000000"/>
          <w:sz w:val="24"/>
          <w:szCs w:val="24"/>
        </w:rPr>
      </w:pPr>
      <w:r w:rsidRPr="00B97F20">
        <w:rPr>
          <w:rFonts w:cstheme="minorHAnsi"/>
          <w:i/>
          <w:iCs/>
          <w:color w:val="000000"/>
          <w:sz w:val="24"/>
          <w:szCs w:val="24"/>
        </w:rPr>
        <w:t>When photographing or filming a child for work related purposes, I must:</w:t>
      </w:r>
    </w:p>
    <w:p w14:paraId="49C5DADF" w14:textId="77777777" w:rsidR="004B5F0D" w:rsidRPr="00B97F20" w:rsidRDefault="004B5F0D" w:rsidP="007C37A1">
      <w:pPr>
        <w:pStyle w:val="ListParagraph"/>
        <w:numPr>
          <w:ilvl w:val="0"/>
          <w:numId w:val="88"/>
        </w:numPr>
        <w:autoSpaceDE/>
        <w:autoSpaceDN/>
        <w:adjustRightInd/>
        <w:spacing w:before="120" w:after="120"/>
        <w:ind w:left="450" w:right="30" w:hanging="450"/>
        <w:jc w:val="both"/>
        <w:rPr>
          <w:rFonts w:asciiTheme="minorHAnsi" w:hAnsiTheme="minorHAnsi" w:cstheme="minorHAnsi"/>
          <w:i/>
          <w:iCs/>
          <w:color w:val="000000"/>
        </w:rPr>
      </w:pPr>
      <w:r w:rsidRPr="00B97F20">
        <w:rPr>
          <w:rFonts w:asciiTheme="minorHAnsi" w:hAnsiTheme="minorHAnsi" w:cstheme="minorHAnsi"/>
          <w:i/>
          <w:iCs/>
          <w:color w:val="000000"/>
        </w:rPr>
        <w:t>Before photographing or filming a child, assess and comply with local traditions or restrictions for reproducing personal images.</w:t>
      </w:r>
    </w:p>
    <w:p w14:paraId="466A8BAE" w14:textId="77777777" w:rsidR="004B5F0D" w:rsidRPr="00B97F20" w:rsidRDefault="004B5F0D" w:rsidP="007C37A1">
      <w:pPr>
        <w:pStyle w:val="ListParagraph"/>
        <w:numPr>
          <w:ilvl w:val="0"/>
          <w:numId w:val="88"/>
        </w:numPr>
        <w:autoSpaceDE/>
        <w:autoSpaceDN/>
        <w:adjustRightInd/>
        <w:spacing w:before="120" w:after="120"/>
        <w:ind w:left="450" w:right="30" w:hanging="450"/>
        <w:jc w:val="both"/>
        <w:rPr>
          <w:rFonts w:asciiTheme="minorHAnsi" w:hAnsiTheme="minorHAnsi" w:cstheme="minorHAnsi"/>
          <w:i/>
          <w:iCs/>
          <w:color w:val="000000"/>
        </w:rPr>
      </w:pPr>
      <w:r w:rsidRPr="00B97F20">
        <w:rPr>
          <w:rFonts w:asciiTheme="minorHAnsi" w:hAnsiTheme="minorHAnsi" w:cstheme="minorHAnsi"/>
          <w:i/>
          <w:iCs/>
          <w:color w:val="000000"/>
        </w:rPr>
        <w:t>Before photographing or filming a child, obtain informed consent from the child and a parent or guardian of the child. As part of this I must explain how the photograph or film will be used.</w:t>
      </w:r>
    </w:p>
    <w:p w14:paraId="007D76EB" w14:textId="77777777" w:rsidR="004B5F0D" w:rsidRPr="00B97F20" w:rsidRDefault="004B5F0D" w:rsidP="007C37A1">
      <w:pPr>
        <w:pStyle w:val="ListParagraph"/>
        <w:numPr>
          <w:ilvl w:val="0"/>
          <w:numId w:val="88"/>
        </w:numPr>
        <w:autoSpaceDE/>
        <w:autoSpaceDN/>
        <w:adjustRightInd/>
        <w:spacing w:before="120" w:after="120"/>
        <w:ind w:left="450" w:right="30" w:hanging="450"/>
        <w:jc w:val="both"/>
        <w:rPr>
          <w:rFonts w:asciiTheme="minorHAnsi" w:hAnsiTheme="minorHAnsi" w:cstheme="minorHAnsi"/>
          <w:i/>
          <w:iCs/>
          <w:color w:val="000000"/>
        </w:rPr>
      </w:pPr>
      <w:r w:rsidRPr="00B97F20">
        <w:rPr>
          <w:rFonts w:asciiTheme="minorHAnsi" w:hAnsiTheme="minorHAnsi" w:cstheme="minorHAnsi"/>
          <w:i/>
          <w:iCs/>
          <w:color w:val="000000"/>
        </w:rPr>
        <w:t>Ensure photographs, films, videos and DVDs present children in a dignified and respectful manner and not in a vulnerable or submissive manner. Children should be adequately clothed and not in poses that could be seen as sexually suggestive.</w:t>
      </w:r>
    </w:p>
    <w:p w14:paraId="6847CDA4" w14:textId="77777777" w:rsidR="004B5F0D" w:rsidRPr="00B97F20" w:rsidRDefault="004B5F0D" w:rsidP="007C37A1">
      <w:pPr>
        <w:pStyle w:val="ListParagraph"/>
        <w:numPr>
          <w:ilvl w:val="0"/>
          <w:numId w:val="88"/>
        </w:numPr>
        <w:autoSpaceDE/>
        <w:autoSpaceDN/>
        <w:adjustRightInd/>
        <w:spacing w:before="120" w:after="120"/>
        <w:ind w:left="450" w:right="30" w:hanging="450"/>
        <w:jc w:val="both"/>
        <w:rPr>
          <w:rFonts w:asciiTheme="minorHAnsi" w:hAnsiTheme="minorHAnsi" w:cstheme="minorHAnsi"/>
          <w:i/>
          <w:iCs/>
          <w:color w:val="000000"/>
        </w:rPr>
      </w:pPr>
      <w:r w:rsidRPr="00B97F20">
        <w:rPr>
          <w:rFonts w:asciiTheme="minorHAnsi" w:hAnsiTheme="minorHAnsi" w:cstheme="minorHAnsi"/>
          <w:i/>
          <w:iCs/>
          <w:color w:val="000000"/>
        </w:rPr>
        <w:t>Ensure images are honest representations of the context and the facts.</w:t>
      </w:r>
    </w:p>
    <w:p w14:paraId="25A8F63B" w14:textId="77777777" w:rsidR="004B5F0D" w:rsidRPr="00B97F20" w:rsidRDefault="004B5F0D" w:rsidP="007C37A1">
      <w:pPr>
        <w:pStyle w:val="ListParagraph"/>
        <w:numPr>
          <w:ilvl w:val="0"/>
          <w:numId w:val="88"/>
        </w:numPr>
        <w:autoSpaceDE/>
        <w:autoSpaceDN/>
        <w:adjustRightInd/>
        <w:spacing w:before="120" w:after="120"/>
        <w:ind w:left="450" w:right="30" w:hanging="450"/>
        <w:jc w:val="both"/>
        <w:rPr>
          <w:rFonts w:asciiTheme="minorHAnsi" w:hAnsiTheme="minorHAnsi" w:cstheme="minorHAnsi"/>
          <w:b/>
          <w:i/>
          <w:iCs/>
          <w:color w:val="000000"/>
        </w:rPr>
      </w:pPr>
      <w:r w:rsidRPr="00B97F20">
        <w:rPr>
          <w:rFonts w:asciiTheme="minorHAnsi" w:hAnsiTheme="minorHAnsi" w:cstheme="minorHAnsi"/>
          <w:i/>
          <w:iCs/>
          <w:color w:val="000000"/>
        </w:rPr>
        <w:t>Ensure file labels do not reveal identifying information about a child when sending images electronically.</w:t>
      </w:r>
    </w:p>
    <w:p w14:paraId="5DFAF8B8" w14:textId="77777777" w:rsidR="004B5F0D" w:rsidRPr="00B97F20" w:rsidRDefault="004B5F0D" w:rsidP="007C37A1">
      <w:pPr>
        <w:spacing w:before="120" w:after="120" w:line="240" w:lineRule="auto"/>
        <w:ind w:right="30"/>
        <w:rPr>
          <w:rFonts w:cstheme="minorHAnsi"/>
          <w:b/>
          <w:i/>
          <w:iCs/>
          <w:color w:val="000000"/>
          <w:sz w:val="24"/>
          <w:szCs w:val="24"/>
        </w:rPr>
      </w:pPr>
      <w:r w:rsidRPr="00B97F20">
        <w:rPr>
          <w:rFonts w:cstheme="minorHAnsi"/>
          <w:b/>
          <w:i/>
          <w:iCs/>
          <w:color w:val="000000"/>
          <w:sz w:val="24"/>
          <w:szCs w:val="24"/>
        </w:rPr>
        <w:t>Sanctions</w:t>
      </w:r>
    </w:p>
    <w:p w14:paraId="00248908" w14:textId="77777777" w:rsidR="004B5F0D" w:rsidRPr="00B97F20" w:rsidRDefault="004B5F0D" w:rsidP="007C37A1">
      <w:pPr>
        <w:autoSpaceDE w:val="0"/>
        <w:autoSpaceDN w:val="0"/>
        <w:adjustRightInd w:val="0"/>
        <w:spacing w:before="120" w:after="120" w:line="240" w:lineRule="auto"/>
        <w:ind w:right="30"/>
        <w:rPr>
          <w:rFonts w:cstheme="minorHAnsi"/>
          <w:i/>
          <w:iCs/>
          <w:sz w:val="24"/>
          <w:szCs w:val="24"/>
        </w:rPr>
      </w:pPr>
      <w:r w:rsidRPr="00B97F20">
        <w:rPr>
          <w:rFonts w:cstheme="minorHAnsi"/>
          <w:i/>
          <w:iCs/>
          <w:sz w:val="24"/>
          <w:szCs w:val="24"/>
        </w:rPr>
        <w:t xml:space="preserve">I understand that if I breach this Individual Code of Conduct, my employer will take disciplinary action which could include: </w:t>
      </w:r>
    </w:p>
    <w:p w14:paraId="14A9B7C0" w14:textId="77777777" w:rsidR="004B5F0D" w:rsidRPr="00B97F20" w:rsidRDefault="004B5F0D" w:rsidP="007C37A1">
      <w:pPr>
        <w:pStyle w:val="ListParagraph"/>
        <w:numPr>
          <w:ilvl w:val="0"/>
          <w:numId w:val="89"/>
        </w:numPr>
        <w:spacing w:before="120" w:after="120"/>
        <w:ind w:left="540" w:right="30" w:hanging="540"/>
        <w:jc w:val="both"/>
        <w:rPr>
          <w:rFonts w:asciiTheme="minorHAnsi" w:hAnsiTheme="minorHAnsi" w:cstheme="minorHAnsi"/>
          <w:i/>
          <w:iCs/>
        </w:rPr>
      </w:pPr>
      <w:r w:rsidRPr="00B97F20">
        <w:rPr>
          <w:rFonts w:asciiTheme="minorHAnsi" w:hAnsiTheme="minorHAnsi" w:cstheme="minorHAnsi"/>
          <w:i/>
          <w:iCs/>
        </w:rPr>
        <w:t>Informal warning.</w:t>
      </w:r>
    </w:p>
    <w:p w14:paraId="4DFAEAF0" w14:textId="77777777" w:rsidR="004B5F0D" w:rsidRPr="00B97F20" w:rsidRDefault="004B5F0D" w:rsidP="007C37A1">
      <w:pPr>
        <w:pStyle w:val="ListParagraph"/>
        <w:numPr>
          <w:ilvl w:val="0"/>
          <w:numId w:val="89"/>
        </w:numPr>
        <w:autoSpaceDE/>
        <w:autoSpaceDN/>
        <w:adjustRightInd/>
        <w:spacing w:before="120" w:after="120"/>
        <w:ind w:left="540" w:right="30" w:hanging="540"/>
        <w:jc w:val="both"/>
        <w:rPr>
          <w:rFonts w:asciiTheme="minorHAnsi" w:hAnsiTheme="minorHAnsi" w:cstheme="minorHAnsi"/>
          <w:i/>
          <w:iCs/>
        </w:rPr>
      </w:pPr>
      <w:r w:rsidRPr="00B97F20">
        <w:rPr>
          <w:rFonts w:asciiTheme="minorHAnsi" w:hAnsiTheme="minorHAnsi" w:cstheme="minorHAnsi"/>
          <w:i/>
          <w:iCs/>
        </w:rPr>
        <w:t>Formal warning.</w:t>
      </w:r>
    </w:p>
    <w:p w14:paraId="2E13C526" w14:textId="77777777" w:rsidR="004B5F0D" w:rsidRPr="00B97F20" w:rsidRDefault="004B5F0D" w:rsidP="007C37A1">
      <w:pPr>
        <w:pStyle w:val="ListParagraph"/>
        <w:numPr>
          <w:ilvl w:val="0"/>
          <w:numId w:val="89"/>
        </w:numPr>
        <w:autoSpaceDE/>
        <w:autoSpaceDN/>
        <w:adjustRightInd/>
        <w:spacing w:before="120" w:after="120"/>
        <w:ind w:left="540" w:right="30" w:hanging="540"/>
        <w:jc w:val="both"/>
        <w:rPr>
          <w:rFonts w:asciiTheme="minorHAnsi" w:hAnsiTheme="minorHAnsi" w:cstheme="minorHAnsi"/>
          <w:i/>
          <w:iCs/>
        </w:rPr>
      </w:pPr>
      <w:r w:rsidRPr="00B97F20">
        <w:rPr>
          <w:rFonts w:asciiTheme="minorHAnsi" w:hAnsiTheme="minorHAnsi" w:cstheme="minorHAnsi"/>
          <w:i/>
          <w:iCs/>
        </w:rPr>
        <w:t>Additional Training.</w:t>
      </w:r>
    </w:p>
    <w:p w14:paraId="477F0531" w14:textId="77777777" w:rsidR="004B5F0D" w:rsidRPr="00B97F20" w:rsidRDefault="004B5F0D" w:rsidP="007C37A1">
      <w:pPr>
        <w:pStyle w:val="ListParagraph"/>
        <w:numPr>
          <w:ilvl w:val="0"/>
          <w:numId w:val="89"/>
        </w:numPr>
        <w:autoSpaceDE/>
        <w:autoSpaceDN/>
        <w:adjustRightInd/>
        <w:spacing w:before="120" w:after="120"/>
        <w:ind w:left="540" w:right="30" w:hanging="540"/>
        <w:jc w:val="both"/>
        <w:rPr>
          <w:rFonts w:asciiTheme="minorHAnsi" w:hAnsiTheme="minorHAnsi" w:cstheme="minorHAnsi"/>
          <w:i/>
          <w:iCs/>
        </w:rPr>
      </w:pPr>
      <w:r w:rsidRPr="00B97F20">
        <w:rPr>
          <w:rFonts w:asciiTheme="minorHAnsi" w:hAnsiTheme="minorHAnsi" w:cstheme="minorHAnsi"/>
          <w:i/>
          <w:iCs/>
        </w:rPr>
        <w:t>Loss of up to one week’s salary.</w:t>
      </w:r>
    </w:p>
    <w:p w14:paraId="6EF70017" w14:textId="77777777" w:rsidR="004B5F0D" w:rsidRPr="00B97F20" w:rsidRDefault="004B5F0D" w:rsidP="007C37A1">
      <w:pPr>
        <w:pStyle w:val="ListParagraph"/>
        <w:numPr>
          <w:ilvl w:val="0"/>
          <w:numId w:val="89"/>
        </w:numPr>
        <w:autoSpaceDE/>
        <w:autoSpaceDN/>
        <w:adjustRightInd/>
        <w:spacing w:before="120" w:after="120"/>
        <w:ind w:left="540" w:right="30" w:hanging="540"/>
        <w:jc w:val="both"/>
        <w:rPr>
          <w:rFonts w:asciiTheme="minorHAnsi" w:hAnsiTheme="minorHAnsi" w:cstheme="minorHAnsi"/>
          <w:i/>
          <w:iCs/>
        </w:rPr>
      </w:pPr>
      <w:r w:rsidRPr="00B97F20">
        <w:rPr>
          <w:rFonts w:asciiTheme="minorHAnsi" w:hAnsiTheme="minorHAnsi" w:cstheme="minorHAnsi"/>
          <w:i/>
          <w:iCs/>
        </w:rPr>
        <w:t>Suspension of employment (without payment of salary), for a minimum period of 1 month up to a maximum of 6 months.</w:t>
      </w:r>
    </w:p>
    <w:p w14:paraId="14CB63A6" w14:textId="77777777" w:rsidR="004B5F0D" w:rsidRPr="00B97F20" w:rsidRDefault="004B5F0D" w:rsidP="007C37A1">
      <w:pPr>
        <w:pStyle w:val="ListParagraph"/>
        <w:numPr>
          <w:ilvl w:val="0"/>
          <w:numId w:val="89"/>
        </w:numPr>
        <w:autoSpaceDE/>
        <w:autoSpaceDN/>
        <w:adjustRightInd/>
        <w:spacing w:before="120" w:after="120"/>
        <w:ind w:left="540" w:right="30" w:hanging="540"/>
        <w:jc w:val="both"/>
        <w:rPr>
          <w:rFonts w:asciiTheme="minorHAnsi" w:hAnsiTheme="minorHAnsi" w:cstheme="minorHAnsi"/>
          <w:i/>
          <w:iCs/>
        </w:rPr>
      </w:pPr>
      <w:r w:rsidRPr="00B97F20">
        <w:rPr>
          <w:rFonts w:asciiTheme="minorHAnsi" w:hAnsiTheme="minorHAnsi" w:cstheme="minorHAnsi"/>
          <w:i/>
          <w:iCs/>
        </w:rPr>
        <w:t xml:space="preserve">Termination of employment. </w:t>
      </w:r>
    </w:p>
    <w:p w14:paraId="59BAA35B" w14:textId="77777777" w:rsidR="004B5F0D" w:rsidRPr="00B97F20" w:rsidRDefault="004B5F0D" w:rsidP="007C37A1">
      <w:pPr>
        <w:pStyle w:val="ListParagraph"/>
        <w:numPr>
          <w:ilvl w:val="0"/>
          <w:numId w:val="89"/>
        </w:numPr>
        <w:autoSpaceDE/>
        <w:autoSpaceDN/>
        <w:adjustRightInd/>
        <w:spacing w:before="120" w:after="120"/>
        <w:ind w:left="540" w:right="30" w:hanging="540"/>
        <w:jc w:val="both"/>
        <w:rPr>
          <w:rFonts w:asciiTheme="minorHAnsi" w:hAnsiTheme="minorHAnsi" w:cstheme="minorHAnsi"/>
          <w:i/>
          <w:iCs/>
        </w:rPr>
      </w:pPr>
      <w:r w:rsidRPr="00B97F20">
        <w:rPr>
          <w:rFonts w:asciiTheme="minorHAnsi" w:hAnsiTheme="minorHAnsi" w:cstheme="minorHAnsi"/>
          <w:i/>
          <w:iCs/>
        </w:rPr>
        <w:t xml:space="preserve">Report to the Police if warranted. </w:t>
      </w:r>
    </w:p>
    <w:p w14:paraId="6819C1E8" w14:textId="13B31B9A" w:rsidR="004B5F0D" w:rsidRPr="00B97F20" w:rsidRDefault="004B5F0D" w:rsidP="007C37A1">
      <w:pPr>
        <w:pStyle w:val="NormalWeb"/>
        <w:spacing w:before="120" w:beforeAutospacing="0" w:after="120" w:afterAutospacing="0"/>
        <w:ind w:right="30"/>
        <w:jc w:val="both"/>
        <w:rPr>
          <w:rFonts w:asciiTheme="minorHAnsi" w:hAnsiTheme="minorHAnsi" w:cstheme="minorHAnsi"/>
          <w:i/>
          <w:iCs/>
        </w:rPr>
      </w:pPr>
      <w:r w:rsidRPr="00B97F20">
        <w:rPr>
          <w:rFonts w:asciiTheme="minorHAnsi" w:hAnsiTheme="minorHAnsi" w:cstheme="minorHAnsi"/>
          <w:i/>
          <w:iCs/>
          <w:color w:val="000000"/>
        </w:rPr>
        <w:t xml:space="preserve">I will avoid actions or behaviors that could be construed as </w:t>
      </w:r>
      <w:r w:rsidR="00B97F20" w:rsidRPr="00B97F20">
        <w:rPr>
          <w:rFonts w:asciiTheme="minorHAnsi" w:hAnsiTheme="minorHAnsi" w:cstheme="minorHAnsi"/>
          <w:i/>
          <w:iCs/>
          <w:color w:val="000000"/>
        </w:rPr>
        <w:t>S</w:t>
      </w:r>
      <w:r w:rsidRPr="00B97F20">
        <w:rPr>
          <w:rFonts w:asciiTheme="minorHAnsi" w:hAnsiTheme="minorHAnsi" w:cstheme="minorHAnsi"/>
          <w:i/>
          <w:iCs/>
          <w:color w:val="000000"/>
        </w:rPr>
        <w:t>EA</w:t>
      </w:r>
      <w:r w:rsidR="00B97F20" w:rsidRPr="00B97F20">
        <w:rPr>
          <w:rFonts w:asciiTheme="minorHAnsi" w:hAnsiTheme="minorHAnsi" w:cstheme="minorHAnsi"/>
          <w:i/>
          <w:iCs/>
          <w:color w:val="000000"/>
        </w:rPr>
        <w:t>/SH</w:t>
      </w:r>
      <w:r w:rsidRPr="00B97F20">
        <w:rPr>
          <w:rFonts w:asciiTheme="minorHAnsi" w:hAnsiTheme="minorHAnsi" w:cstheme="minorHAnsi"/>
          <w:i/>
          <w:iCs/>
          <w:color w:val="000000"/>
        </w:rPr>
        <w:t xml:space="preserve"> or VAC. Any such actions will be a breach this Individual Code of Conduct.</w:t>
      </w:r>
      <w:r w:rsidRPr="00B97F20">
        <w:rPr>
          <w:rFonts w:asciiTheme="minorHAnsi" w:hAnsiTheme="minorHAnsi" w:cstheme="minorHAnsi"/>
          <w:i/>
          <w:iCs/>
        </w:rPr>
        <w:t xml:space="preserve"> I do hereby acknowledge that I have read the foregoing Individual Code of Conduct, agree to comply with the standards contained therein and understand my roles and responsibilities to prevent and respond to SEA</w:t>
      </w:r>
      <w:r w:rsidR="00B97F20" w:rsidRPr="00B97F20">
        <w:rPr>
          <w:rFonts w:asciiTheme="minorHAnsi" w:hAnsiTheme="minorHAnsi" w:cstheme="minorHAnsi"/>
          <w:i/>
          <w:iCs/>
        </w:rPr>
        <w:t>/SH</w:t>
      </w:r>
      <w:r w:rsidRPr="00B97F20">
        <w:rPr>
          <w:rFonts w:asciiTheme="minorHAnsi" w:hAnsiTheme="minorHAnsi" w:cstheme="minorHAnsi"/>
          <w:i/>
          <w:iCs/>
        </w:rPr>
        <w:t xml:space="preserve"> and VAC issues. I understand that any action inconsistent with this Individual Code of Conduct or failure to act mandated by this Individual Code of Conduct may result in disciplinary action and may affect my ongoing employment. </w:t>
      </w:r>
    </w:p>
    <w:p w14:paraId="3F30D80B" w14:textId="77777777" w:rsidR="004B5F0D" w:rsidRPr="00B97F20" w:rsidRDefault="004B5F0D" w:rsidP="007C37A1">
      <w:pPr>
        <w:spacing w:before="120" w:after="120" w:line="240" w:lineRule="auto"/>
        <w:ind w:right="30"/>
        <w:rPr>
          <w:rFonts w:cstheme="minorHAnsi"/>
          <w:i/>
          <w:iCs/>
          <w:color w:val="000000"/>
          <w:sz w:val="24"/>
          <w:szCs w:val="24"/>
        </w:rPr>
      </w:pPr>
      <w:r w:rsidRPr="00B97F20">
        <w:rPr>
          <w:rFonts w:cstheme="minorHAnsi"/>
          <w:i/>
          <w:iCs/>
          <w:color w:val="000000"/>
          <w:sz w:val="24"/>
          <w:szCs w:val="24"/>
        </w:rPr>
        <w:tab/>
      </w:r>
      <w:r w:rsidRPr="00B97F20">
        <w:rPr>
          <w:rFonts w:cstheme="minorHAnsi"/>
          <w:i/>
          <w:iCs/>
          <w:color w:val="000000"/>
          <w:sz w:val="24"/>
          <w:szCs w:val="24"/>
        </w:rPr>
        <w:tab/>
        <w:t xml:space="preserve">Signature: </w:t>
      </w:r>
      <w:r w:rsidRPr="00B97F20">
        <w:rPr>
          <w:rFonts w:cstheme="minorHAnsi"/>
          <w:i/>
          <w:iCs/>
          <w:color w:val="000000"/>
          <w:sz w:val="24"/>
          <w:szCs w:val="24"/>
        </w:rPr>
        <w:tab/>
        <w:t>_________________________</w:t>
      </w:r>
    </w:p>
    <w:p w14:paraId="4FDCF403" w14:textId="77777777" w:rsidR="004B5F0D" w:rsidRPr="00B97F20" w:rsidRDefault="004B5F0D" w:rsidP="007C37A1">
      <w:pPr>
        <w:spacing w:before="120" w:after="120" w:line="240" w:lineRule="auto"/>
        <w:ind w:right="30"/>
        <w:rPr>
          <w:rFonts w:cstheme="minorHAnsi"/>
          <w:i/>
          <w:iCs/>
          <w:color w:val="000000"/>
          <w:sz w:val="24"/>
          <w:szCs w:val="24"/>
        </w:rPr>
      </w:pPr>
      <w:r w:rsidRPr="00B97F20">
        <w:rPr>
          <w:rFonts w:cstheme="minorHAnsi"/>
          <w:i/>
          <w:iCs/>
          <w:color w:val="000000"/>
          <w:sz w:val="24"/>
          <w:szCs w:val="24"/>
        </w:rPr>
        <w:tab/>
      </w:r>
      <w:r w:rsidRPr="00B97F20">
        <w:rPr>
          <w:rFonts w:cstheme="minorHAnsi"/>
          <w:i/>
          <w:iCs/>
          <w:color w:val="000000"/>
          <w:sz w:val="24"/>
          <w:szCs w:val="24"/>
        </w:rPr>
        <w:tab/>
        <w:t>Printed Name:</w:t>
      </w:r>
      <w:r w:rsidRPr="00B97F20">
        <w:rPr>
          <w:rFonts w:cstheme="minorHAnsi"/>
          <w:i/>
          <w:iCs/>
          <w:color w:val="000000"/>
          <w:sz w:val="24"/>
          <w:szCs w:val="24"/>
        </w:rPr>
        <w:tab/>
        <w:t>_________________________</w:t>
      </w:r>
    </w:p>
    <w:p w14:paraId="6A8A0502" w14:textId="77777777" w:rsidR="004B5F0D" w:rsidRPr="00B97F20" w:rsidRDefault="004B5F0D" w:rsidP="007C37A1">
      <w:pPr>
        <w:spacing w:before="120" w:after="120" w:line="240" w:lineRule="auto"/>
        <w:ind w:right="30"/>
        <w:rPr>
          <w:rFonts w:cstheme="minorHAnsi"/>
          <w:i/>
          <w:iCs/>
          <w:color w:val="000000"/>
          <w:sz w:val="24"/>
          <w:szCs w:val="24"/>
        </w:rPr>
      </w:pPr>
      <w:r w:rsidRPr="00B97F20">
        <w:rPr>
          <w:rFonts w:cstheme="minorHAnsi"/>
          <w:i/>
          <w:iCs/>
          <w:color w:val="000000"/>
          <w:sz w:val="24"/>
          <w:szCs w:val="24"/>
        </w:rPr>
        <w:tab/>
      </w:r>
      <w:r w:rsidRPr="00B97F20">
        <w:rPr>
          <w:rFonts w:cstheme="minorHAnsi"/>
          <w:i/>
          <w:iCs/>
          <w:color w:val="000000"/>
          <w:sz w:val="24"/>
          <w:szCs w:val="24"/>
        </w:rPr>
        <w:tab/>
        <w:t xml:space="preserve">Title: </w:t>
      </w:r>
      <w:r w:rsidRPr="00B97F20">
        <w:rPr>
          <w:rFonts w:cstheme="minorHAnsi"/>
          <w:i/>
          <w:iCs/>
          <w:color w:val="000000"/>
          <w:sz w:val="24"/>
          <w:szCs w:val="24"/>
        </w:rPr>
        <w:tab/>
      </w:r>
      <w:r w:rsidRPr="00B97F20">
        <w:rPr>
          <w:rFonts w:cstheme="minorHAnsi"/>
          <w:i/>
          <w:iCs/>
          <w:color w:val="000000"/>
          <w:sz w:val="24"/>
          <w:szCs w:val="24"/>
        </w:rPr>
        <w:tab/>
        <w:t>_________________________</w:t>
      </w:r>
    </w:p>
    <w:p w14:paraId="4BEF0979" w14:textId="77777777" w:rsidR="004B5F0D" w:rsidRPr="00B97F20" w:rsidRDefault="004B5F0D" w:rsidP="007C37A1">
      <w:pPr>
        <w:spacing w:before="120" w:after="120" w:line="240" w:lineRule="auto"/>
        <w:ind w:right="30"/>
        <w:rPr>
          <w:rFonts w:cstheme="minorHAnsi"/>
          <w:i/>
          <w:iCs/>
          <w:color w:val="000000"/>
          <w:sz w:val="24"/>
          <w:szCs w:val="24"/>
        </w:rPr>
      </w:pPr>
      <w:r w:rsidRPr="00B97F20">
        <w:rPr>
          <w:rFonts w:cstheme="minorHAnsi"/>
          <w:i/>
          <w:iCs/>
          <w:color w:val="000000"/>
          <w:sz w:val="24"/>
          <w:szCs w:val="24"/>
        </w:rPr>
        <w:tab/>
      </w:r>
      <w:r w:rsidRPr="00B97F20">
        <w:rPr>
          <w:rFonts w:cstheme="minorHAnsi"/>
          <w:i/>
          <w:iCs/>
          <w:color w:val="000000"/>
          <w:sz w:val="24"/>
          <w:szCs w:val="24"/>
        </w:rPr>
        <w:tab/>
        <w:t xml:space="preserve">Date: </w:t>
      </w:r>
      <w:r w:rsidRPr="00B97F20">
        <w:rPr>
          <w:rFonts w:cstheme="minorHAnsi"/>
          <w:i/>
          <w:iCs/>
          <w:color w:val="000000"/>
          <w:sz w:val="24"/>
          <w:szCs w:val="24"/>
        </w:rPr>
        <w:tab/>
      </w:r>
      <w:r w:rsidRPr="00B97F20">
        <w:rPr>
          <w:rFonts w:cstheme="minorHAnsi"/>
          <w:i/>
          <w:iCs/>
          <w:color w:val="000000"/>
          <w:sz w:val="24"/>
          <w:szCs w:val="24"/>
        </w:rPr>
        <w:tab/>
        <w:t>_________________________</w:t>
      </w:r>
    </w:p>
    <w:p w14:paraId="536359CF" w14:textId="2F622EA1" w:rsidR="0065491A" w:rsidRPr="00B97F20" w:rsidRDefault="004B5F0D" w:rsidP="007C37A1">
      <w:pPr>
        <w:ind w:right="30"/>
        <w:rPr>
          <w:rFonts w:eastAsia="Times New Roman" w:cstheme="minorHAnsi"/>
          <w:bCs/>
          <w:color w:val="000000"/>
          <w:sz w:val="24"/>
          <w:szCs w:val="24"/>
        </w:rPr>
      </w:pPr>
      <w:r w:rsidRPr="004B5F0D">
        <w:rPr>
          <w:rFonts w:eastAsia="Times New Roman" w:cstheme="minorHAnsi"/>
          <w:bCs/>
          <w:color w:val="000000"/>
          <w:sz w:val="24"/>
          <w:szCs w:val="24"/>
        </w:rPr>
        <w:br w:type="page"/>
      </w:r>
    </w:p>
    <w:p w14:paraId="5446B9B2" w14:textId="6AFE6B89" w:rsidR="00B97F20" w:rsidRDefault="00CE0D9D" w:rsidP="007C37A1">
      <w:pPr>
        <w:pStyle w:val="ListParagraph"/>
        <w:numPr>
          <w:ilvl w:val="0"/>
          <w:numId w:val="85"/>
        </w:numPr>
        <w:spacing w:before="120" w:after="120"/>
        <w:ind w:left="360" w:right="29"/>
        <w:jc w:val="both"/>
        <w:rPr>
          <w:rFonts w:cstheme="minorHAnsi"/>
          <w:b/>
          <w:bCs/>
        </w:rPr>
      </w:pPr>
      <w:r w:rsidRPr="0065491A">
        <w:rPr>
          <w:rFonts w:cstheme="minorHAnsi"/>
          <w:b/>
          <w:bCs/>
        </w:rPr>
        <w:lastRenderedPageBreak/>
        <w:t>Referral of survivors to specialist GBV support services</w:t>
      </w:r>
    </w:p>
    <w:p w14:paraId="4A383C0E" w14:textId="77777777" w:rsidR="00C343D5" w:rsidRDefault="00C343D5" w:rsidP="007C37A1">
      <w:pPr>
        <w:tabs>
          <w:tab w:val="left" w:pos="1170"/>
        </w:tabs>
        <w:spacing w:before="120" w:after="120" w:line="240" w:lineRule="auto"/>
        <w:ind w:right="29"/>
        <w:jc w:val="both"/>
        <w:rPr>
          <w:rFonts w:cstheme="minorHAnsi"/>
          <w:b/>
          <w:bCs/>
          <w:sz w:val="24"/>
          <w:szCs w:val="24"/>
        </w:rPr>
      </w:pPr>
      <w:r w:rsidRPr="00F35B3A">
        <w:rPr>
          <w:rFonts w:cstheme="minorHAnsi"/>
          <w:sz w:val="24"/>
          <w:szCs w:val="24"/>
        </w:rPr>
        <w:t xml:space="preserve">Female beneficiaries will be provided information about the closest specialist GBV support services (police, health, counselling, safe accommodation) during the provision of services through the project. Such information can be integrated into existing activities and awareness which will reach female beneficiaries enabling the sharing of information to be done discreetly and to all beneficiaries. </w:t>
      </w:r>
    </w:p>
    <w:p w14:paraId="6A64BDB9" w14:textId="77777777" w:rsidR="00C343D5" w:rsidRDefault="00C343D5" w:rsidP="007C37A1">
      <w:pPr>
        <w:tabs>
          <w:tab w:val="left" w:pos="1170"/>
        </w:tabs>
        <w:spacing w:before="120" w:after="120" w:line="240" w:lineRule="auto"/>
        <w:ind w:right="29"/>
        <w:jc w:val="both"/>
        <w:rPr>
          <w:rFonts w:cstheme="minorHAnsi"/>
          <w:b/>
          <w:bCs/>
          <w:sz w:val="24"/>
          <w:szCs w:val="24"/>
        </w:rPr>
      </w:pPr>
      <w:r w:rsidRPr="00F35B3A">
        <w:rPr>
          <w:rFonts w:cstheme="minorHAnsi"/>
          <w:sz w:val="24"/>
          <w:szCs w:val="24"/>
        </w:rPr>
        <w:t xml:space="preserve">Where possible, the local specialist GBV service, will conduct an awareness session with female beneficiaries on their right not to experience violence and how to access social and legal GBV services. </w:t>
      </w:r>
    </w:p>
    <w:p w14:paraId="35CF5DD7" w14:textId="77777777" w:rsidR="00C343D5" w:rsidRDefault="00C343D5" w:rsidP="007C37A1">
      <w:pPr>
        <w:tabs>
          <w:tab w:val="left" w:pos="1170"/>
        </w:tabs>
        <w:spacing w:before="120" w:after="120" w:line="240" w:lineRule="auto"/>
        <w:ind w:right="29"/>
        <w:jc w:val="both"/>
        <w:rPr>
          <w:rFonts w:cstheme="minorHAnsi"/>
          <w:b/>
          <w:bCs/>
          <w:sz w:val="24"/>
          <w:szCs w:val="24"/>
        </w:rPr>
      </w:pPr>
      <w:r w:rsidRPr="00F35B3A">
        <w:rPr>
          <w:rFonts w:cstheme="minorHAnsi"/>
          <w:sz w:val="24"/>
          <w:szCs w:val="24"/>
        </w:rPr>
        <w:t xml:space="preserve">To enable this, for each Project Site, a list of specialists GBV support services (police, health, counselling, safe accommodation) will be prepared. All Project Workers will be provided access to this information so that they can refer any woman who reports experiencing any form of violence to these services. </w:t>
      </w:r>
    </w:p>
    <w:p w14:paraId="429A4501" w14:textId="489D71EA" w:rsidR="00C343D5" w:rsidRPr="00C343D5" w:rsidRDefault="00C343D5" w:rsidP="007C37A1">
      <w:pPr>
        <w:tabs>
          <w:tab w:val="left" w:pos="1170"/>
        </w:tabs>
        <w:spacing w:before="120" w:after="120" w:line="240" w:lineRule="auto"/>
        <w:ind w:right="29"/>
        <w:jc w:val="both"/>
        <w:rPr>
          <w:rFonts w:cstheme="minorHAnsi"/>
          <w:b/>
          <w:bCs/>
          <w:sz w:val="24"/>
          <w:szCs w:val="24"/>
        </w:rPr>
      </w:pPr>
      <w:r w:rsidRPr="00F35B3A">
        <w:rPr>
          <w:rFonts w:cstheme="minorHAnsi"/>
          <w:sz w:val="24"/>
          <w:szCs w:val="24"/>
        </w:rPr>
        <w:t xml:space="preserve">Following the identification of these services, an assessment of services will be conducted to identify previous training in the provision of survivor-centered services with possible areas of strengthening that may be supported by the Project identified. The Project is not in a position support the establishment of new services or the formalization of informal / emerging services as the investment and expertise required to do this is greater than the project can provide. For similar reasons, the project also will not support strengthening of case management or police responses as both these areas are being supported by bi-lateral and multi-lateral programs with significantly more resources and expertise. There may, however, be opportunities to leverage existing initiatives in a particular location to inject further resources into existing initiatives. </w:t>
      </w:r>
    </w:p>
    <w:p w14:paraId="0A3B21EF" w14:textId="7795BEA0" w:rsidR="00CE0D9D" w:rsidRPr="00C343D5" w:rsidRDefault="00CE0D9D" w:rsidP="007C37A1">
      <w:pPr>
        <w:pStyle w:val="ListParagraph"/>
        <w:numPr>
          <w:ilvl w:val="0"/>
          <w:numId w:val="85"/>
        </w:numPr>
        <w:spacing w:before="120" w:after="120"/>
        <w:ind w:left="360" w:right="29"/>
        <w:jc w:val="both"/>
        <w:rPr>
          <w:rFonts w:cstheme="minorHAnsi"/>
          <w:b/>
          <w:bCs/>
        </w:rPr>
      </w:pPr>
      <w:r w:rsidRPr="00C343D5">
        <w:rPr>
          <w:rFonts w:cstheme="minorHAnsi"/>
          <w:b/>
          <w:bCs/>
        </w:rPr>
        <w:t>Grievance Redress Mechanism (GRM)</w:t>
      </w:r>
    </w:p>
    <w:p w14:paraId="19918220" w14:textId="7AA7EF6A" w:rsidR="00CE0D9D" w:rsidRPr="001B3941" w:rsidRDefault="00CE0D9D" w:rsidP="007C37A1">
      <w:pPr>
        <w:ind w:right="30"/>
        <w:jc w:val="both"/>
        <w:rPr>
          <w:rFonts w:cstheme="minorHAnsi"/>
          <w:sz w:val="24"/>
          <w:szCs w:val="24"/>
        </w:rPr>
      </w:pPr>
      <w:r w:rsidRPr="001B3941">
        <w:rPr>
          <w:rFonts w:cstheme="minorHAnsi"/>
          <w:sz w:val="24"/>
          <w:szCs w:val="24"/>
        </w:rPr>
        <w:t xml:space="preserve">The GRM will include details of how reports of </w:t>
      </w:r>
      <w:r w:rsidR="00C343D5">
        <w:rPr>
          <w:rFonts w:cstheme="minorHAnsi"/>
          <w:sz w:val="24"/>
          <w:szCs w:val="24"/>
        </w:rPr>
        <w:t>SEA/SH and VAC</w:t>
      </w:r>
      <w:r w:rsidRPr="001B3941">
        <w:rPr>
          <w:rFonts w:cstheme="minorHAnsi"/>
          <w:sz w:val="24"/>
          <w:szCs w:val="24"/>
        </w:rPr>
        <w:t xml:space="preserve"> will be received, resolved, and documented including outlining the Projects specific responsibility to respond to:</w:t>
      </w:r>
    </w:p>
    <w:p w14:paraId="7E39D738" w14:textId="77777777" w:rsidR="00CE0D9D" w:rsidRPr="001B3941" w:rsidRDefault="00CE0D9D" w:rsidP="007C37A1">
      <w:pPr>
        <w:tabs>
          <w:tab w:val="left" w:pos="1350"/>
        </w:tabs>
        <w:ind w:right="30"/>
        <w:jc w:val="both"/>
        <w:rPr>
          <w:rFonts w:cstheme="minorHAnsi"/>
          <w:sz w:val="24"/>
          <w:szCs w:val="24"/>
        </w:rPr>
      </w:pPr>
      <w:r w:rsidRPr="001B3941">
        <w:rPr>
          <w:rFonts w:cstheme="minorHAnsi"/>
          <w:noProof/>
          <w:sz w:val="24"/>
          <w:szCs w:val="24"/>
        </w:rPr>
        <w:drawing>
          <wp:inline distT="0" distB="0" distL="0" distR="0" wp14:anchorId="7341696A" wp14:editId="2F760251">
            <wp:extent cx="5486400" cy="1504709"/>
            <wp:effectExtent l="19050" t="0" r="38100" b="1968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Pr="001B3941">
        <w:rPr>
          <w:rFonts w:cstheme="minorHAnsi"/>
          <w:sz w:val="24"/>
          <w:szCs w:val="24"/>
        </w:rPr>
        <w:t xml:space="preserve"> </w:t>
      </w:r>
    </w:p>
    <w:p w14:paraId="0C027822" w14:textId="135227C5" w:rsidR="00CE0D9D" w:rsidRPr="001B3941" w:rsidRDefault="00CE0D9D" w:rsidP="007C37A1">
      <w:pPr>
        <w:ind w:right="30"/>
        <w:jc w:val="both"/>
        <w:rPr>
          <w:rFonts w:cstheme="minorHAnsi"/>
          <w:sz w:val="24"/>
          <w:szCs w:val="24"/>
        </w:rPr>
      </w:pPr>
      <w:r w:rsidRPr="001B3941">
        <w:rPr>
          <w:rFonts w:cstheme="minorHAnsi"/>
          <w:sz w:val="24"/>
          <w:szCs w:val="24"/>
        </w:rPr>
        <w:t xml:space="preserve">The following elements will be integrated into the GRM to respond to complaints of </w:t>
      </w:r>
      <w:r w:rsidRPr="001B3941">
        <w:rPr>
          <w:rFonts w:cstheme="minorHAnsi"/>
          <w:sz w:val="24"/>
          <w:szCs w:val="24"/>
          <w:lang w:val="en-GB"/>
        </w:rPr>
        <w:t>SEA</w:t>
      </w:r>
      <w:r w:rsidR="00C343D5">
        <w:rPr>
          <w:rFonts w:cstheme="minorHAnsi"/>
          <w:sz w:val="24"/>
          <w:szCs w:val="24"/>
          <w:lang w:val="en-GB"/>
        </w:rPr>
        <w:t>/</w:t>
      </w:r>
      <w:r w:rsidRPr="001B3941">
        <w:rPr>
          <w:rFonts w:cstheme="minorHAnsi"/>
          <w:sz w:val="24"/>
          <w:szCs w:val="24"/>
          <w:lang w:val="en-GB"/>
        </w:rPr>
        <w:t xml:space="preserve">SH experience by </w:t>
      </w:r>
      <w:r w:rsidRPr="001B3941">
        <w:rPr>
          <w:rFonts w:cstheme="minorHAnsi"/>
          <w:sz w:val="24"/>
          <w:szCs w:val="24"/>
        </w:rPr>
        <w:t xml:space="preserve">female beneficiaries </w:t>
      </w:r>
      <w:r w:rsidRPr="001B3941">
        <w:rPr>
          <w:rFonts w:cstheme="minorHAnsi"/>
          <w:sz w:val="24"/>
          <w:szCs w:val="24"/>
          <w:lang w:val="en-GB"/>
        </w:rPr>
        <w:t>involving a Project Worker:</w:t>
      </w:r>
    </w:p>
    <w:tbl>
      <w:tblPr>
        <w:tblStyle w:val="TableGridLight"/>
        <w:tblW w:w="9028" w:type="dxa"/>
        <w:tblInd w:w="-5" w:type="dxa"/>
        <w:tblLook w:val="04A0" w:firstRow="1" w:lastRow="0" w:firstColumn="1" w:lastColumn="0" w:noHBand="0" w:noVBand="1"/>
      </w:tblPr>
      <w:tblGrid>
        <w:gridCol w:w="2610"/>
        <w:gridCol w:w="6418"/>
      </w:tblGrid>
      <w:tr w:rsidR="00CE0D9D" w:rsidRPr="001B3941" w14:paraId="36FC7A77" w14:textId="77777777" w:rsidTr="007C37A1">
        <w:tc>
          <w:tcPr>
            <w:tcW w:w="2610" w:type="dxa"/>
          </w:tcPr>
          <w:p w14:paraId="55C75C55" w14:textId="77777777" w:rsidR="00CE0D9D" w:rsidRPr="001B3941" w:rsidRDefault="00CE0D9D" w:rsidP="00ED5DE1">
            <w:pPr>
              <w:ind w:right="30"/>
              <w:jc w:val="both"/>
              <w:rPr>
                <w:rFonts w:cstheme="minorHAnsi"/>
                <w:sz w:val="24"/>
                <w:szCs w:val="24"/>
              </w:rPr>
            </w:pPr>
            <w:r w:rsidRPr="001B3941">
              <w:rPr>
                <w:rFonts w:cstheme="minorHAnsi"/>
                <w:sz w:val="24"/>
                <w:szCs w:val="24"/>
              </w:rPr>
              <w:t>Principles</w:t>
            </w:r>
          </w:p>
        </w:tc>
        <w:tc>
          <w:tcPr>
            <w:tcW w:w="6418" w:type="dxa"/>
          </w:tcPr>
          <w:p w14:paraId="5C2E1A9E" w14:textId="7F3EE77C" w:rsidR="00CE0D9D" w:rsidRPr="001B3941" w:rsidRDefault="00CE0D9D" w:rsidP="00C343D5">
            <w:pPr>
              <w:ind w:right="30"/>
              <w:rPr>
                <w:rFonts w:cstheme="minorHAnsi"/>
                <w:sz w:val="24"/>
                <w:szCs w:val="24"/>
              </w:rPr>
            </w:pPr>
            <w:r w:rsidRPr="001B3941">
              <w:rPr>
                <w:rFonts w:cstheme="minorHAnsi"/>
                <w:sz w:val="24"/>
                <w:szCs w:val="24"/>
              </w:rPr>
              <w:t>The process to receive and respond to complaints of SEA/SH, will apply a survivor-</w:t>
            </w:r>
            <w:r w:rsidR="00C343D5" w:rsidRPr="001B3941">
              <w:rPr>
                <w:rFonts w:cstheme="minorHAnsi"/>
                <w:sz w:val="24"/>
                <w:szCs w:val="24"/>
              </w:rPr>
              <w:t>centered</w:t>
            </w:r>
            <w:r w:rsidRPr="001B3941">
              <w:rPr>
                <w:rFonts w:cstheme="minorHAnsi"/>
                <w:sz w:val="24"/>
                <w:szCs w:val="24"/>
              </w:rPr>
              <w:t xml:space="preserve"> approach. This includes ensuring the survivor’s safety, choice, consent and confidentiality and to ensure that the survivor is informed, respected and referred to specialist GBV services. </w:t>
            </w:r>
          </w:p>
          <w:p w14:paraId="6FC01542" w14:textId="77777777" w:rsidR="00CE0D9D" w:rsidRPr="001B3941" w:rsidRDefault="00CE0D9D" w:rsidP="00C343D5">
            <w:pPr>
              <w:ind w:right="30"/>
              <w:rPr>
                <w:rFonts w:cstheme="minorHAnsi"/>
                <w:sz w:val="24"/>
                <w:szCs w:val="24"/>
              </w:rPr>
            </w:pPr>
            <w:r w:rsidRPr="001B3941">
              <w:rPr>
                <w:rFonts w:cstheme="minorHAnsi"/>
                <w:sz w:val="24"/>
                <w:szCs w:val="24"/>
              </w:rPr>
              <w:t>The process will also be accessible, transparent, timely and fair.</w:t>
            </w:r>
          </w:p>
        </w:tc>
      </w:tr>
      <w:tr w:rsidR="00CE0D9D" w:rsidRPr="001B3941" w14:paraId="5101941F" w14:textId="77777777" w:rsidTr="007C37A1">
        <w:tc>
          <w:tcPr>
            <w:tcW w:w="2610" w:type="dxa"/>
          </w:tcPr>
          <w:p w14:paraId="0EF2F9E1" w14:textId="699DA7D2" w:rsidR="00CE0D9D" w:rsidRPr="001B3941" w:rsidRDefault="00CE0D9D" w:rsidP="00C343D5">
            <w:pPr>
              <w:ind w:right="30"/>
              <w:rPr>
                <w:rFonts w:cstheme="minorHAnsi"/>
                <w:sz w:val="24"/>
                <w:szCs w:val="24"/>
              </w:rPr>
            </w:pPr>
            <w:r w:rsidRPr="001B3941">
              <w:rPr>
                <w:rFonts w:cstheme="minorHAnsi"/>
                <w:sz w:val="24"/>
                <w:szCs w:val="24"/>
              </w:rPr>
              <w:lastRenderedPageBreak/>
              <w:t>Receiving complaints of GBV, including SEA/SH</w:t>
            </w:r>
            <w:r w:rsidR="00C343D5">
              <w:rPr>
                <w:rFonts w:cstheme="minorHAnsi"/>
                <w:sz w:val="24"/>
                <w:szCs w:val="24"/>
              </w:rPr>
              <w:t xml:space="preserve"> and VAC</w:t>
            </w:r>
          </w:p>
        </w:tc>
        <w:tc>
          <w:tcPr>
            <w:tcW w:w="6418" w:type="dxa"/>
          </w:tcPr>
          <w:p w14:paraId="1A68EDA1" w14:textId="77777777" w:rsidR="00CE0D9D" w:rsidRPr="001B3941" w:rsidRDefault="00CE0D9D" w:rsidP="00C343D5">
            <w:pPr>
              <w:ind w:right="30"/>
              <w:rPr>
                <w:rFonts w:cstheme="minorHAnsi"/>
                <w:sz w:val="24"/>
                <w:szCs w:val="24"/>
              </w:rPr>
            </w:pPr>
            <w:r w:rsidRPr="001B3941">
              <w:rPr>
                <w:rFonts w:cstheme="minorHAnsi"/>
                <w:sz w:val="24"/>
                <w:szCs w:val="24"/>
              </w:rPr>
              <w:t>The GRM must be accessible to survivors of SEA / SH. This means:</w:t>
            </w:r>
          </w:p>
          <w:p w14:paraId="4CF6A4AC" w14:textId="77777777" w:rsidR="00C343D5" w:rsidRDefault="00CE0D9D" w:rsidP="00C343D5">
            <w:pPr>
              <w:pStyle w:val="ListParagraph"/>
              <w:numPr>
                <w:ilvl w:val="0"/>
                <w:numId w:val="93"/>
              </w:numPr>
              <w:ind w:right="30"/>
              <w:contextualSpacing/>
              <w:rPr>
                <w:rFonts w:cstheme="minorHAnsi"/>
              </w:rPr>
            </w:pPr>
            <w:r w:rsidRPr="00C343D5">
              <w:rPr>
                <w:rFonts w:cstheme="minorHAnsi"/>
              </w:rPr>
              <w:t>Having multiple reporting methods and contacts including at least one woman who can receive complaints for each Project Site.</w:t>
            </w:r>
          </w:p>
          <w:p w14:paraId="3329093A" w14:textId="77777777" w:rsidR="00C343D5" w:rsidRDefault="00CE0D9D" w:rsidP="00C343D5">
            <w:pPr>
              <w:pStyle w:val="ListParagraph"/>
              <w:numPr>
                <w:ilvl w:val="0"/>
                <w:numId w:val="93"/>
              </w:numPr>
              <w:ind w:right="30"/>
              <w:contextualSpacing/>
              <w:rPr>
                <w:rFonts w:cstheme="minorHAnsi"/>
              </w:rPr>
            </w:pPr>
            <w:r w:rsidRPr="00C343D5">
              <w:rPr>
                <w:rFonts w:cstheme="minorHAnsi"/>
              </w:rPr>
              <w:t>Outlining how third-party reports will be responded to.</w:t>
            </w:r>
          </w:p>
          <w:p w14:paraId="6BDDECFD" w14:textId="77777777" w:rsidR="00C343D5" w:rsidRDefault="00CE0D9D" w:rsidP="00C343D5">
            <w:pPr>
              <w:pStyle w:val="ListParagraph"/>
              <w:numPr>
                <w:ilvl w:val="0"/>
                <w:numId w:val="93"/>
              </w:numPr>
              <w:ind w:right="30"/>
              <w:contextualSpacing/>
              <w:rPr>
                <w:rFonts w:cstheme="minorHAnsi"/>
              </w:rPr>
            </w:pPr>
            <w:r w:rsidRPr="00C343D5">
              <w:rPr>
                <w:rFonts w:cstheme="minorHAnsi"/>
              </w:rPr>
              <w:t>Having a referral pathway for each Project Site to refer any survivors to the closest specialist GBV service providers.</w:t>
            </w:r>
          </w:p>
          <w:p w14:paraId="4F0013BA" w14:textId="04271F06" w:rsidR="00CE0D9D" w:rsidRPr="00C343D5" w:rsidRDefault="00CE0D9D" w:rsidP="00C343D5">
            <w:pPr>
              <w:pStyle w:val="ListParagraph"/>
              <w:numPr>
                <w:ilvl w:val="0"/>
                <w:numId w:val="93"/>
              </w:numPr>
              <w:ind w:right="30"/>
              <w:contextualSpacing/>
              <w:rPr>
                <w:rFonts w:cstheme="minorHAnsi"/>
              </w:rPr>
            </w:pPr>
            <w:r w:rsidRPr="00C343D5">
              <w:rPr>
                <w:rFonts w:cstheme="minorHAnsi"/>
              </w:rPr>
              <w:t>Increasing the awareness of communities that will interact with project workers on how to access the GRM.</w:t>
            </w:r>
          </w:p>
        </w:tc>
      </w:tr>
      <w:tr w:rsidR="00CE0D9D" w:rsidRPr="001B3941" w14:paraId="4E9C020D" w14:textId="77777777" w:rsidTr="007C37A1">
        <w:tc>
          <w:tcPr>
            <w:tcW w:w="2610" w:type="dxa"/>
          </w:tcPr>
          <w:p w14:paraId="449C4307" w14:textId="77777777" w:rsidR="00CE0D9D" w:rsidRPr="001B3941" w:rsidRDefault="00CE0D9D" w:rsidP="00C343D5">
            <w:pPr>
              <w:ind w:right="30"/>
              <w:rPr>
                <w:rFonts w:cstheme="minorHAnsi"/>
                <w:sz w:val="24"/>
                <w:szCs w:val="24"/>
              </w:rPr>
            </w:pPr>
            <w:r w:rsidRPr="001B3941">
              <w:rPr>
                <w:rFonts w:cstheme="minorHAnsi"/>
                <w:sz w:val="24"/>
                <w:szCs w:val="24"/>
              </w:rPr>
              <w:t>Resolving complaints of GBV, including SEA / SH</w:t>
            </w:r>
          </w:p>
        </w:tc>
        <w:tc>
          <w:tcPr>
            <w:tcW w:w="6418" w:type="dxa"/>
          </w:tcPr>
          <w:p w14:paraId="39C42E3F" w14:textId="71119623" w:rsidR="00CE0D9D" w:rsidRPr="001B3941" w:rsidRDefault="00CE0D9D" w:rsidP="00C343D5">
            <w:pPr>
              <w:ind w:right="30"/>
              <w:rPr>
                <w:rFonts w:cstheme="minorHAnsi"/>
                <w:sz w:val="24"/>
                <w:szCs w:val="24"/>
              </w:rPr>
            </w:pPr>
            <w:r w:rsidRPr="001B3941">
              <w:rPr>
                <w:rFonts w:cstheme="minorHAnsi"/>
                <w:sz w:val="24"/>
                <w:szCs w:val="24"/>
              </w:rPr>
              <w:t>The GRM should include a clear process to resolve the complaints of SEA / SH, which is survivor</w:t>
            </w:r>
            <w:r w:rsidR="00C343D5">
              <w:rPr>
                <w:rFonts w:cstheme="minorHAnsi"/>
                <w:sz w:val="24"/>
                <w:szCs w:val="24"/>
              </w:rPr>
              <w:t xml:space="preserve"> </w:t>
            </w:r>
            <w:r w:rsidR="00C343D5" w:rsidRPr="001B3941">
              <w:rPr>
                <w:rFonts w:cstheme="minorHAnsi"/>
                <w:sz w:val="24"/>
                <w:szCs w:val="24"/>
              </w:rPr>
              <w:t>centered</w:t>
            </w:r>
            <w:r w:rsidRPr="001B3941">
              <w:rPr>
                <w:rFonts w:cstheme="minorHAnsi"/>
                <w:sz w:val="24"/>
                <w:szCs w:val="24"/>
              </w:rPr>
              <w:t>. This includes processes to:</w:t>
            </w:r>
          </w:p>
          <w:p w14:paraId="2D489E6C" w14:textId="77777777" w:rsidR="00C343D5" w:rsidRDefault="00CE0D9D" w:rsidP="00C343D5">
            <w:pPr>
              <w:pStyle w:val="ListParagraph"/>
              <w:numPr>
                <w:ilvl w:val="0"/>
                <w:numId w:val="94"/>
              </w:numPr>
              <w:ind w:right="30"/>
              <w:contextualSpacing/>
              <w:rPr>
                <w:rFonts w:cstheme="minorHAnsi"/>
              </w:rPr>
            </w:pPr>
            <w:r w:rsidRPr="00C343D5">
              <w:rPr>
                <w:rFonts w:cstheme="minorHAnsi"/>
              </w:rPr>
              <w:t xml:space="preserve">Assess if the allegation is likely linked to the </w:t>
            </w:r>
            <w:r w:rsidR="00C343D5">
              <w:rPr>
                <w:rFonts w:cstheme="minorHAnsi"/>
              </w:rPr>
              <w:t>CNP-II</w:t>
            </w:r>
          </w:p>
          <w:p w14:paraId="1ED6C4FF" w14:textId="77777777" w:rsidR="00C343D5" w:rsidRDefault="00CE0D9D" w:rsidP="00C343D5">
            <w:pPr>
              <w:pStyle w:val="ListParagraph"/>
              <w:numPr>
                <w:ilvl w:val="0"/>
                <w:numId w:val="94"/>
              </w:numPr>
              <w:ind w:right="30"/>
              <w:contextualSpacing/>
              <w:rPr>
                <w:rFonts w:cstheme="minorHAnsi"/>
              </w:rPr>
            </w:pPr>
            <w:r w:rsidRPr="00C343D5">
              <w:rPr>
                <w:rFonts w:cstheme="minorHAnsi"/>
              </w:rPr>
              <w:t>Verify the allegation to:</w:t>
            </w:r>
          </w:p>
          <w:p w14:paraId="2722885E" w14:textId="77777777" w:rsidR="00C343D5" w:rsidRDefault="00CE0D9D" w:rsidP="00C343D5">
            <w:pPr>
              <w:pStyle w:val="ListParagraph"/>
              <w:numPr>
                <w:ilvl w:val="0"/>
                <w:numId w:val="18"/>
              </w:numPr>
              <w:ind w:left="1059" w:right="30"/>
              <w:contextualSpacing/>
              <w:rPr>
                <w:rFonts w:cstheme="minorHAnsi"/>
              </w:rPr>
            </w:pPr>
            <w:r w:rsidRPr="00C343D5">
              <w:rPr>
                <w:rFonts w:cstheme="minorHAnsi"/>
              </w:rPr>
              <w:t>Determine the likelihood that the incident occurred.</w:t>
            </w:r>
          </w:p>
          <w:p w14:paraId="051D5FCF" w14:textId="77777777" w:rsidR="00C343D5" w:rsidRDefault="00CE0D9D" w:rsidP="00C343D5">
            <w:pPr>
              <w:pStyle w:val="ListParagraph"/>
              <w:numPr>
                <w:ilvl w:val="0"/>
                <w:numId w:val="18"/>
              </w:numPr>
              <w:ind w:left="1059" w:right="30"/>
              <w:contextualSpacing/>
              <w:rPr>
                <w:rFonts w:cstheme="minorHAnsi"/>
              </w:rPr>
            </w:pPr>
            <w:r w:rsidRPr="00C343D5">
              <w:rPr>
                <w:rFonts w:cstheme="minorHAnsi"/>
              </w:rPr>
              <w:t>Recommend disciplinary measures toward the alleged perpetrator.</w:t>
            </w:r>
          </w:p>
          <w:p w14:paraId="6F07F5A1" w14:textId="4E1134A4" w:rsidR="00CE0D9D" w:rsidRPr="00C343D5" w:rsidRDefault="00CE0D9D" w:rsidP="00C343D5">
            <w:pPr>
              <w:pStyle w:val="ListParagraph"/>
              <w:numPr>
                <w:ilvl w:val="0"/>
                <w:numId w:val="18"/>
              </w:numPr>
              <w:ind w:left="1059" w:right="30"/>
              <w:contextualSpacing/>
              <w:rPr>
                <w:rFonts w:cstheme="minorHAnsi"/>
              </w:rPr>
            </w:pPr>
            <w:r w:rsidRPr="00C343D5">
              <w:rPr>
                <w:rFonts w:cstheme="minorHAnsi"/>
              </w:rPr>
              <w:t>Ensure the survivor can speak to one person through the process, in most cases the contact person should be a woman.</w:t>
            </w:r>
          </w:p>
          <w:p w14:paraId="1F67079E" w14:textId="57506C61" w:rsidR="00CE0D9D" w:rsidRPr="001B3941" w:rsidRDefault="00CE0D9D" w:rsidP="00C343D5">
            <w:pPr>
              <w:ind w:right="30"/>
              <w:rPr>
                <w:rFonts w:cstheme="minorHAnsi"/>
                <w:sz w:val="24"/>
                <w:szCs w:val="24"/>
              </w:rPr>
            </w:pPr>
            <w:r w:rsidRPr="001B3941">
              <w:rPr>
                <w:rFonts w:cstheme="minorHAnsi"/>
                <w:sz w:val="24"/>
                <w:szCs w:val="24"/>
              </w:rPr>
              <w:t>The GRM will also clearly articulate that reports of SEA/SH</w:t>
            </w:r>
            <w:r w:rsidR="00C343D5">
              <w:rPr>
                <w:rFonts w:cstheme="minorHAnsi"/>
                <w:sz w:val="24"/>
                <w:szCs w:val="24"/>
              </w:rPr>
              <w:t xml:space="preserve"> and VAC</w:t>
            </w:r>
            <w:r w:rsidRPr="001B3941">
              <w:rPr>
                <w:rFonts w:cstheme="minorHAnsi"/>
                <w:sz w:val="24"/>
                <w:szCs w:val="24"/>
              </w:rPr>
              <w:t xml:space="preserve"> will not be resolved using customary practices of conflict resolutions, such of mediation, reconciliation and compensation.</w:t>
            </w:r>
          </w:p>
        </w:tc>
      </w:tr>
      <w:tr w:rsidR="00CE0D9D" w:rsidRPr="001B3941" w14:paraId="3968D075" w14:textId="77777777" w:rsidTr="007C37A1">
        <w:tc>
          <w:tcPr>
            <w:tcW w:w="2610" w:type="dxa"/>
          </w:tcPr>
          <w:p w14:paraId="52079BC4" w14:textId="382BBDCD" w:rsidR="00CE0D9D" w:rsidRPr="001B3941" w:rsidRDefault="00CE0D9D" w:rsidP="00ED5DE1">
            <w:pPr>
              <w:ind w:right="30"/>
              <w:jc w:val="both"/>
              <w:rPr>
                <w:rFonts w:cstheme="minorHAnsi"/>
                <w:sz w:val="24"/>
                <w:szCs w:val="24"/>
              </w:rPr>
            </w:pPr>
            <w:r w:rsidRPr="001B3941">
              <w:rPr>
                <w:rFonts w:cstheme="minorHAnsi"/>
                <w:sz w:val="24"/>
                <w:szCs w:val="24"/>
              </w:rPr>
              <w:t>Recording complaints of GBV, including SEA/SH</w:t>
            </w:r>
            <w:r w:rsidR="00C343D5">
              <w:rPr>
                <w:rFonts w:cstheme="minorHAnsi"/>
                <w:sz w:val="24"/>
                <w:szCs w:val="24"/>
              </w:rPr>
              <w:t xml:space="preserve"> and VAC</w:t>
            </w:r>
          </w:p>
        </w:tc>
        <w:tc>
          <w:tcPr>
            <w:tcW w:w="6418" w:type="dxa"/>
          </w:tcPr>
          <w:p w14:paraId="08EF8F64" w14:textId="4B9DA8FC" w:rsidR="00CE0D9D" w:rsidRPr="001B3941" w:rsidRDefault="00CE0D9D" w:rsidP="00ED5DE1">
            <w:pPr>
              <w:ind w:right="30"/>
              <w:jc w:val="both"/>
              <w:rPr>
                <w:rFonts w:cstheme="minorHAnsi"/>
                <w:sz w:val="24"/>
                <w:szCs w:val="24"/>
              </w:rPr>
            </w:pPr>
            <w:r w:rsidRPr="001B3941">
              <w:rPr>
                <w:rFonts w:cstheme="minorHAnsi"/>
                <w:sz w:val="24"/>
                <w:szCs w:val="24"/>
              </w:rPr>
              <w:t>The GRM will outline how information of reports of SEA/SH</w:t>
            </w:r>
            <w:r w:rsidR="00C343D5">
              <w:rPr>
                <w:rFonts w:cstheme="minorHAnsi"/>
                <w:sz w:val="24"/>
                <w:szCs w:val="24"/>
              </w:rPr>
              <w:t xml:space="preserve"> and VAC</w:t>
            </w:r>
            <w:r w:rsidRPr="001B3941">
              <w:rPr>
                <w:rFonts w:cstheme="minorHAnsi"/>
                <w:sz w:val="24"/>
                <w:szCs w:val="24"/>
              </w:rPr>
              <w:t>, and actions taken to resolve the complaint, will be collected and stored confidentiality and ensure the information is not shared outside necessary reporting requirements</w:t>
            </w:r>
          </w:p>
          <w:p w14:paraId="695C92FE" w14:textId="77777777" w:rsidR="00CE0D9D" w:rsidRPr="001B3941" w:rsidRDefault="00CE0D9D" w:rsidP="00ED5DE1">
            <w:pPr>
              <w:ind w:right="30"/>
              <w:jc w:val="both"/>
              <w:rPr>
                <w:rFonts w:cstheme="minorHAnsi"/>
                <w:sz w:val="24"/>
                <w:szCs w:val="24"/>
              </w:rPr>
            </w:pPr>
            <w:r w:rsidRPr="001B3941">
              <w:rPr>
                <w:rFonts w:cstheme="minorHAnsi"/>
                <w:sz w:val="24"/>
                <w:szCs w:val="24"/>
              </w:rPr>
              <w:t>The GRM will also include details of required notification to the World Bank Task Team with only the following data to be shared:</w:t>
            </w:r>
          </w:p>
          <w:p w14:paraId="4F7AF33C" w14:textId="77777777" w:rsidR="00C343D5" w:rsidRDefault="00CE0D9D" w:rsidP="00C343D5">
            <w:pPr>
              <w:pStyle w:val="ListParagraph"/>
              <w:numPr>
                <w:ilvl w:val="0"/>
                <w:numId w:val="95"/>
              </w:numPr>
              <w:ind w:right="30"/>
              <w:contextualSpacing/>
              <w:jc w:val="both"/>
              <w:rPr>
                <w:rFonts w:cstheme="minorHAnsi"/>
              </w:rPr>
            </w:pPr>
            <w:r w:rsidRPr="00C343D5">
              <w:rPr>
                <w:rFonts w:cstheme="minorHAnsi"/>
              </w:rPr>
              <w:t>The nature of the allegation.</w:t>
            </w:r>
          </w:p>
          <w:p w14:paraId="7E2BE73C" w14:textId="77777777" w:rsidR="00C343D5" w:rsidRDefault="00CE0D9D" w:rsidP="00C343D5">
            <w:pPr>
              <w:pStyle w:val="ListParagraph"/>
              <w:numPr>
                <w:ilvl w:val="0"/>
                <w:numId w:val="95"/>
              </w:numPr>
              <w:ind w:right="30"/>
              <w:contextualSpacing/>
              <w:jc w:val="both"/>
              <w:rPr>
                <w:rFonts w:cstheme="minorHAnsi"/>
              </w:rPr>
            </w:pPr>
            <w:r w:rsidRPr="00C343D5">
              <w:rPr>
                <w:rFonts w:cstheme="minorHAnsi"/>
              </w:rPr>
              <w:t>If the alleged perpetrator is, to the survivor’s best knowledge, associated with the Project (yes/no).</w:t>
            </w:r>
          </w:p>
          <w:p w14:paraId="293D0C47" w14:textId="77777777" w:rsidR="00C343D5" w:rsidRDefault="00CE0D9D" w:rsidP="00C343D5">
            <w:pPr>
              <w:pStyle w:val="ListParagraph"/>
              <w:numPr>
                <w:ilvl w:val="0"/>
                <w:numId w:val="95"/>
              </w:numPr>
              <w:ind w:right="30"/>
              <w:contextualSpacing/>
              <w:jc w:val="both"/>
              <w:rPr>
                <w:rFonts w:cstheme="minorHAnsi"/>
              </w:rPr>
            </w:pPr>
            <w:r w:rsidRPr="00C343D5">
              <w:rPr>
                <w:rFonts w:cstheme="minorHAnsi"/>
              </w:rPr>
              <w:t>The survivor’s age and/or sex (if available).</w:t>
            </w:r>
          </w:p>
          <w:p w14:paraId="04A49806" w14:textId="5CC91525" w:rsidR="00CE0D9D" w:rsidRPr="00C343D5" w:rsidRDefault="00CE0D9D" w:rsidP="00C343D5">
            <w:pPr>
              <w:pStyle w:val="ListParagraph"/>
              <w:numPr>
                <w:ilvl w:val="0"/>
                <w:numId w:val="95"/>
              </w:numPr>
              <w:ind w:right="30"/>
              <w:contextualSpacing/>
              <w:jc w:val="both"/>
              <w:rPr>
                <w:rFonts w:cstheme="minorHAnsi"/>
              </w:rPr>
            </w:pPr>
            <w:r w:rsidRPr="00C343D5">
              <w:rPr>
                <w:rFonts w:cstheme="minorHAnsi"/>
              </w:rPr>
              <w:t>If the survivor was referred to services.</w:t>
            </w:r>
          </w:p>
        </w:tc>
      </w:tr>
      <w:tr w:rsidR="00CE0D9D" w:rsidRPr="001B3941" w14:paraId="0C63FF2F" w14:textId="77777777" w:rsidTr="007C37A1">
        <w:tc>
          <w:tcPr>
            <w:tcW w:w="2610" w:type="dxa"/>
          </w:tcPr>
          <w:p w14:paraId="0511EDC7" w14:textId="77777777" w:rsidR="00CE0D9D" w:rsidRPr="001B3941" w:rsidRDefault="00CE0D9D" w:rsidP="00ED5DE1">
            <w:pPr>
              <w:ind w:right="30"/>
              <w:jc w:val="both"/>
              <w:rPr>
                <w:rFonts w:cstheme="minorHAnsi"/>
                <w:sz w:val="24"/>
                <w:szCs w:val="24"/>
              </w:rPr>
            </w:pPr>
            <w:r w:rsidRPr="001B3941">
              <w:rPr>
                <w:rFonts w:cstheme="minorHAnsi"/>
                <w:sz w:val="24"/>
                <w:szCs w:val="24"/>
              </w:rPr>
              <w:t>Training</w:t>
            </w:r>
          </w:p>
        </w:tc>
        <w:tc>
          <w:tcPr>
            <w:tcW w:w="6418" w:type="dxa"/>
          </w:tcPr>
          <w:p w14:paraId="31CE9308" w14:textId="77777777" w:rsidR="00C343D5" w:rsidRDefault="00CE0D9D" w:rsidP="00C343D5">
            <w:pPr>
              <w:ind w:right="30"/>
              <w:rPr>
                <w:rFonts w:cstheme="minorHAnsi"/>
                <w:sz w:val="24"/>
                <w:szCs w:val="24"/>
              </w:rPr>
            </w:pPr>
            <w:r w:rsidRPr="001B3941">
              <w:rPr>
                <w:rFonts w:cstheme="minorHAnsi"/>
                <w:sz w:val="24"/>
                <w:szCs w:val="24"/>
              </w:rPr>
              <w:t>Anyone receiving or handling complaints of SEA/SH</w:t>
            </w:r>
            <w:r w:rsidR="00C343D5">
              <w:rPr>
                <w:rFonts w:cstheme="minorHAnsi"/>
                <w:sz w:val="24"/>
                <w:szCs w:val="24"/>
              </w:rPr>
              <w:t xml:space="preserve"> and VAC</w:t>
            </w:r>
            <w:r w:rsidRPr="001B3941">
              <w:rPr>
                <w:rFonts w:cstheme="minorHAnsi"/>
                <w:sz w:val="24"/>
                <w:szCs w:val="24"/>
              </w:rPr>
              <w:t xml:space="preserve"> must receive training so that they do not revictimize and retraumatize survivors or unintentionally cause them harm. Those who have been identified to receive complaints of GBV will complete training to</w:t>
            </w:r>
            <w:r w:rsidR="00C343D5">
              <w:rPr>
                <w:rFonts w:cstheme="minorHAnsi"/>
                <w:sz w:val="24"/>
                <w:szCs w:val="24"/>
              </w:rPr>
              <w:t xml:space="preserve"> u</w:t>
            </w:r>
            <w:r w:rsidRPr="001B3941">
              <w:rPr>
                <w:rFonts w:cstheme="minorHAnsi"/>
                <w:sz w:val="24"/>
                <w:szCs w:val="24"/>
              </w:rPr>
              <w:t>nderstand</w:t>
            </w:r>
            <w:r w:rsidR="00C343D5">
              <w:rPr>
                <w:rFonts w:cstheme="minorHAnsi"/>
                <w:sz w:val="24"/>
                <w:szCs w:val="24"/>
              </w:rPr>
              <w:t>:</w:t>
            </w:r>
          </w:p>
          <w:p w14:paraId="2BB22C5C" w14:textId="77777777" w:rsidR="00C343D5" w:rsidRDefault="00C343D5" w:rsidP="00C343D5">
            <w:pPr>
              <w:pStyle w:val="ListParagraph"/>
              <w:numPr>
                <w:ilvl w:val="0"/>
                <w:numId w:val="96"/>
              </w:numPr>
              <w:ind w:right="30"/>
              <w:rPr>
                <w:rFonts w:cstheme="minorHAnsi"/>
              </w:rPr>
            </w:pPr>
            <w:r w:rsidRPr="00C343D5">
              <w:rPr>
                <w:rFonts w:cstheme="minorHAnsi"/>
              </w:rPr>
              <w:t>T</w:t>
            </w:r>
            <w:r w:rsidR="00CE0D9D" w:rsidRPr="00C343D5">
              <w:rPr>
                <w:rFonts w:cstheme="minorHAnsi"/>
              </w:rPr>
              <w:t>he gendered nature of SEA/SH</w:t>
            </w:r>
            <w:r w:rsidRPr="00C343D5">
              <w:rPr>
                <w:rFonts w:cstheme="minorHAnsi"/>
              </w:rPr>
              <w:t xml:space="preserve"> and VAC</w:t>
            </w:r>
            <w:r w:rsidR="00CE0D9D" w:rsidRPr="00C343D5">
              <w:rPr>
                <w:rFonts w:cstheme="minorHAnsi"/>
              </w:rPr>
              <w:t xml:space="preserve">, the SEA/SH </w:t>
            </w:r>
            <w:r w:rsidRPr="00C343D5">
              <w:rPr>
                <w:rFonts w:cstheme="minorHAnsi"/>
              </w:rPr>
              <w:t xml:space="preserve">and VAC </w:t>
            </w:r>
            <w:r w:rsidR="00CE0D9D" w:rsidRPr="00C343D5">
              <w:rPr>
                <w:rFonts w:cstheme="minorHAnsi"/>
              </w:rPr>
              <w:t xml:space="preserve">requirements in the Code of Conduct and the SEA/SH </w:t>
            </w:r>
            <w:r w:rsidRPr="00C343D5">
              <w:rPr>
                <w:rFonts w:cstheme="minorHAnsi"/>
              </w:rPr>
              <w:t xml:space="preserve">and VAC </w:t>
            </w:r>
            <w:r w:rsidR="00CE0D9D" w:rsidRPr="00C343D5">
              <w:rPr>
                <w:rFonts w:cstheme="minorHAnsi"/>
              </w:rPr>
              <w:t>pathway in the GRM.</w:t>
            </w:r>
          </w:p>
          <w:p w14:paraId="56F57E75" w14:textId="35F4014B" w:rsidR="00C343D5" w:rsidRDefault="00CE0D9D" w:rsidP="00C343D5">
            <w:pPr>
              <w:pStyle w:val="ListParagraph"/>
              <w:numPr>
                <w:ilvl w:val="0"/>
                <w:numId w:val="96"/>
              </w:numPr>
              <w:ind w:right="30"/>
              <w:rPr>
                <w:rFonts w:cstheme="minorHAnsi"/>
              </w:rPr>
            </w:pPr>
            <w:r w:rsidRPr="00C343D5">
              <w:rPr>
                <w:rFonts w:cstheme="minorHAnsi"/>
              </w:rPr>
              <w:lastRenderedPageBreak/>
              <w:t>Have the skills to receive complaints of SEA/SH</w:t>
            </w:r>
            <w:r w:rsidR="00C343D5">
              <w:rPr>
                <w:rFonts w:cstheme="minorHAnsi"/>
              </w:rPr>
              <w:t xml:space="preserve"> and VAC</w:t>
            </w:r>
            <w:r w:rsidRPr="00C343D5">
              <w:rPr>
                <w:rFonts w:cstheme="minorHAnsi"/>
              </w:rPr>
              <w:t>.</w:t>
            </w:r>
          </w:p>
          <w:p w14:paraId="1F293F09" w14:textId="3F58168A" w:rsidR="00CE0D9D" w:rsidRPr="00C343D5" w:rsidRDefault="00C343D5" w:rsidP="00C343D5">
            <w:pPr>
              <w:pStyle w:val="ListParagraph"/>
              <w:numPr>
                <w:ilvl w:val="0"/>
                <w:numId w:val="96"/>
              </w:numPr>
              <w:ind w:right="30"/>
              <w:rPr>
                <w:rFonts w:cstheme="minorHAnsi"/>
              </w:rPr>
            </w:pPr>
            <w:r>
              <w:rPr>
                <w:rFonts w:cstheme="minorHAnsi"/>
              </w:rPr>
              <w:t>T</w:t>
            </w:r>
            <w:r w:rsidR="00CE0D9D" w:rsidRPr="00C343D5">
              <w:rPr>
                <w:rFonts w:cstheme="minorHAnsi"/>
              </w:rPr>
              <w:t xml:space="preserve">hose tasked with resolving incidents of SEA/SH </w:t>
            </w:r>
            <w:r>
              <w:rPr>
                <w:rFonts w:cstheme="minorHAnsi"/>
              </w:rPr>
              <w:t xml:space="preserve">and VAC </w:t>
            </w:r>
            <w:r w:rsidR="00CE0D9D" w:rsidRPr="00C343D5">
              <w:rPr>
                <w:rFonts w:cstheme="minorHAnsi"/>
              </w:rPr>
              <w:t>will also complete training to develop their skills to receive, resolve and record complaints of SEA/SH</w:t>
            </w:r>
            <w:r>
              <w:rPr>
                <w:rFonts w:cstheme="minorHAnsi"/>
              </w:rPr>
              <w:t xml:space="preserve"> and VAC</w:t>
            </w:r>
            <w:r w:rsidR="00CE0D9D" w:rsidRPr="00C343D5">
              <w:rPr>
                <w:rFonts w:cstheme="minorHAnsi"/>
              </w:rPr>
              <w:t>.</w:t>
            </w:r>
          </w:p>
        </w:tc>
      </w:tr>
    </w:tbl>
    <w:p w14:paraId="0486583D" w14:textId="77777777" w:rsidR="00CE0D9D" w:rsidRPr="00747F89" w:rsidRDefault="00CE0D9D" w:rsidP="00CE0D9D">
      <w:pPr>
        <w:pStyle w:val="ListParagraph"/>
        <w:tabs>
          <w:tab w:val="left" w:pos="810"/>
        </w:tabs>
        <w:kinsoku w:val="0"/>
        <w:overflowPunct w:val="0"/>
        <w:spacing w:before="120" w:after="120"/>
        <w:ind w:left="1260" w:right="30" w:firstLine="0"/>
        <w:jc w:val="both"/>
      </w:pPr>
    </w:p>
    <w:p w14:paraId="460421B2" w14:textId="1E9AC3B5" w:rsidR="00580F72" w:rsidRPr="00580F72" w:rsidRDefault="009424BF" w:rsidP="00580F72">
      <w:pPr>
        <w:rPr>
          <w:sz w:val="24"/>
          <w:szCs w:val="24"/>
        </w:rPr>
      </w:pPr>
      <w:r>
        <w:rPr>
          <w:sz w:val="24"/>
          <w:szCs w:val="24"/>
        </w:rPr>
        <w:br w:type="page"/>
      </w:r>
    </w:p>
    <w:p w14:paraId="47A44F21" w14:textId="1417DCF2" w:rsidR="00F1042D" w:rsidRPr="00580F72" w:rsidRDefault="00580F72" w:rsidP="007C37A1">
      <w:pPr>
        <w:tabs>
          <w:tab w:val="left" w:pos="720"/>
        </w:tabs>
        <w:kinsoku w:val="0"/>
        <w:overflowPunct w:val="0"/>
        <w:autoSpaceDE w:val="0"/>
        <w:autoSpaceDN w:val="0"/>
        <w:adjustRightInd w:val="0"/>
        <w:spacing w:before="120" w:after="120" w:line="240" w:lineRule="auto"/>
        <w:ind w:right="29"/>
        <w:jc w:val="both"/>
        <w:rPr>
          <w:rFonts w:cstheme="minorHAnsi"/>
          <w:b/>
          <w:bCs/>
          <w:spacing w:val="1"/>
          <w:sz w:val="24"/>
          <w:szCs w:val="24"/>
        </w:rPr>
      </w:pPr>
      <w:r w:rsidRPr="00B97F20">
        <w:rPr>
          <w:rFonts w:cstheme="minorHAnsi"/>
          <w:b/>
          <w:bCs/>
          <w:sz w:val="24"/>
          <w:szCs w:val="24"/>
        </w:rPr>
        <w:lastRenderedPageBreak/>
        <w:t>ANNEX</w:t>
      </w:r>
      <w:r w:rsidRPr="00B97F20">
        <w:rPr>
          <w:rFonts w:cstheme="minorHAnsi"/>
          <w:b/>
          <w:bCs/>
          <w:spacing w:val="1"/>
          <w:sz w:val="24"/>
          <w:szCs w:val="24"/>
        </w:rPr>
        <w:t xml:space="preserve"> </w:t>
      </w:r>
      <w:r w:rsidR="008649FB">
        <w:rPr>
          <w:rFonts w:cstheme="minorHAnsi"/>
          <w:b/>
          <w:bCs/>
          <w:sz w:val="24"/>
          <w:szCs w:val="24"/>
        </w:rPr>
        <w:t>4</w:t>
      </w:r>
      <w:r w:rsidRPr="00B97F20">
        <w:rPr>
          <w:rFonts w:cstheme="minorHAnsi"/>
          <w:b/>
          <w:bCs/>
          <w:spacing w:val="-1"/>
          <w:sz w:val="24"/>
          <w:szCs w:val="24"/>
        </w:rPr>
        <w:t xml:space="preserve"> </w:t>
      </w:r>
      <w:r w:rsidRPr="00B97F20">
        <w:rPr>
          <w:rFonts w:cstheme="minorHAnsi"/>
          <w:b/>
          <w:bCs/>
          <w:sz w:val="24"/>
          <w:szCs w:val="24"/>
        </w:rPr>
        <w:t>–</w:t>
      </w:r>
      <w:r w:rsidRPr="00B97F20">
        <w:rPr>
          <w:rFonts w:cstheme="minorHAnsi"/>
          <w:b/>
          <w:bCs/>
          <w:spacing w:val="1"/>
          <w:sz w:val="24"/>
          <w:szCs w:val="24"/>
        </w:rPr>
        <w:t xml:space="preserve"> </w:t>
      </w:r>
      <w:r>
        <w:rPr>
          <w:rFonts w:cstheme="minorHAnsi"/>
          <w:b/>
          <w:bCs/>
          <w:spacing w:val="1"/>
          <w:sz w:val="24"/>
          <w:szCs w:val="24"/>
        </w:rPr>
        <w:t>LABOR MANAGEMENT PROCEDURE</w:t>
      </w:r>
      <w:r w:rsidRPr="00B97F20">
        <w:rPr>
          <w:rFonts w:cstheme="minorHAnsi"/>
          <w:b/>
          <w:bCs/>
          <w:spacing w:val="1"/>
          <w:sz w:val="24"/>
          <w:szCs w:val="24"/>
        </w:rPr>
        <w:t xml:space="preserve">  </w:t>
      </w:r>
    </w:p>
    <w:p w14:paraId="057C910A" w14:textId="60ECC245" w:rsidR="00F1042D" w:rsidRPr="00580F72" w:rsidRDefault="00580F72" w:rsidP="007C37A1">
      <w:pPr>
        <w:pStyle w:val="ListParagraph"/>
        <w:numPr>
          <w:ilvl w:val="0"/>
          <w:numId w:val="98"/>
        </w:numPr>
        <w:spacing w:before="120" w:after="120"/>
        <w:ind w:left="360"/>
        <w:jc w:val="both"/>
        <w:rPr>
          <w:b/>
          <w:bCs/>
        </w:rPr>
      </w:pPr>
      <w:r w:rsidRPr="00580F72">
        <w:rPr>
          <w:b/>
          <w:bCs/>
        </w:rPr>
        <w:t>O</w:t>
      </w:r>
      <w:r w:rsidR="002E6B1B">
        <w:rPr>
          <w:b/>
          <w:bCs/>
        </w:rPr>
        <w:t>VERVIEW</w:t>
      </w:r>
    </w:p>
    <w:p w14:paraId="16D4DD44" w14:textId="77777777" w:rsidR="00F1042D" w:rsidRPr="00580F72" w:rsidRDefault="00F1042D" w:rsidP="007C37A1">
      <w:pPr>
        <w:spacing w:before="120" w:after="120" w:line="240" w:lineRule="auto"/>
        <w:jc w:val="both"/>
        <w:rPr>
          <w:rFonts w:cstheme="minorHAnsi"/>
        </w:rPr>
      </w:pPr>
      <w:r w:rsidRPr="00580F72">
        <w:rPr>
          <w:rFonts w:cstheme="minorHAnsi"/>
          <w:sz w:val="24"/>
          <w:szCs w:val="24"/>
        </w:rPr>
        <w:t xml:space="preserve">The present Labor Management Procedures contain provisions describing labor requirements, associated risks and summarizing mitigation measures that will be adopted under the project to address the risks related to labor management, including the specific risks to workers posed by COVID-19. </w:t>
      </w:r>
    </w:p>
    <w:p w14:paraId="7F3928C1" w14:textId="35A72CD1" w:rsidR="00F1042D" w:rsidRPr="00580F72" w:rsidRDefault="00F1042D" w:rsidP="007C37A1">
      <w:pPr>
        <w:spacing w:before="120" w:after="120" w:line="240" w:lineRule="auto"/>
        <w:jc w:val="both"/>
        <w:rPr>
          <w:rFonts w:cstheme="minorHAnsi"/>
        </w:rPr>
      </w:pPr>
      <w:r w:rsidRPr="00580F72">
        <w:rPr>
          <w:rFonts w:cstheme="minorHAnsi"/>
          <w:sz w:val="24"/>
          <w:szCs w:val="24"/>
        </w:rPr>
        <w:t>The project will be carried out in accordance with the applicable requirements of ESS2, in a manner acceptable to the World Bank. This will include, inter alia, implementing adequate occupational health and safety measures (including emergency preparedness and response measures), and setting out grievance arrangements for project workers.</w:t>
      </w:r>
    </w:p>
    <w:p w14:paraId="5CF42859" w14:textId="6BC3D42D" w:rsidR="003919B6" w:rsidRDefault="00F1042D" w:rsidP="007C37A1">
      <w:pPr>
        <w:shd w:val="clear" w:color="auto" w:fill="FFFFFF"/>
        <w:spacing w:before="120" w:after="120" w:line="240" w:lineRule="auto"/>
        <w:jc w:val="both"/>
        <w:rPr>
          <w:rFonts w:ascii="Calibri" w:eastAsia="Times New Roman" w:hAnsi="Calibri" w:cs="Calibri"/>
          <w:color w:val="0E101A"/>
          <w:sz w:val="24"/>
          <w:szCs w:val="24"/>
        </w:rPr>
      </w:pPr>
      <w:r w:rsidRPr="00580F72">
        <w:rPr>
          <w:sz w:val="24"/>
          <w:szCs w:val="24"/>
        </w:rPr>
        <w:t xml:space="preserve">The Labor Management Procedures (LMP) is a living document to be reviewed and updated throughout development and implementation of the </w:t>
      </w:r>
      <w:r w:rsidRPr="00580F72">
        <w:rPr>
          <w:i/>
          <w:iCs/>
          <w:sz w:val="24"/>
          <w:szCs w:val="24"/>
        </w:rPr>
        <w:t xml:space="preserve">Cambodia Nutrition </w:t>
      </w:r>
      <w:r w:rsidRPr="00580F72">
        <w:rPr>
          <w:sz w:val="24"/>
          <w:szCs w:val="24"/>
        </w:rPr>
        <w:t xml:space="preserve">Project (P162675). </w:t>
      </w:r>
      <w:r w:rsidRPr="00580F72">
        <w:rPr>
          <w:noProof/>
          <w:sz w:val="24"/>
          <w:szCs w:val="24"/>
        </w:rPr>
        <w:t xml:space="preserve">Although there will be no contracted workforce mobilized for the project, the project implementation requires to have range of project workers, including  NCDDS technical officials and provincial/district/commune level staff of NCDDS for planning and targeting project support for beneficiaries.  The project will not involve primary suppliers or community workers.  </w:t>
      </w:r>
      <w:r w:rsidRPr="00580F72">
        <w:rPr>
          <w:sz w:val="24"/>
          <w:szCs w:val="24"/>
        </w:rPr>
        <w:t xml:space="preserve">The LMP applies to all project workers, irrespective of contracts being full-time, part-time, temporary or casual.  As CNP-I will include additional provinces, the MOH will use the LMP for CNP-I activities while NCDDS will apply the LMP for the activities they are overseeing for CNP-II.  </w:t>
      </w:r>
    </w:p>
    <w:p w14:paraId="1FED7169" w14:textId="0E43DFFA" w:rsidR="00F1042D" w:rsidRPr="003919B6" w:rsidRDefault="00F1042D" w:rsidP="007C37A1">
      <w:pPr>
        <w:shd w:val="clear" w:color="auto" w:fill="FFFFFF"/>
        <w:tabs>
          <w:tab w:val="left" w:pos="720"/>
        </w:tabs>
        <w:spacing w:before="120" w:after="120" w:line="240" w:lineRule="auto"/>
        <w:jc w:val="both"/>
        <w:rPr>
          <w:rFonts w:eastAsia="Times New Roman" w:cstheme="minorHAnsi"/>
          <w:color w:val="0E101A"/>
          <w:sz w:val="24"/>
          <w:szCs w:val="24"/>
        </w:rPr>
      </w:pPr>
      <w:r w:rsidRPr="003919B6">
        <w:rPr>
          <w:rFonts w:cstheme="minorHAnsi"/>
          <w:b/>
          <w:bCs/>
          <w:sz w:val="24"/>
          <w:szCs w:val="24"/>
        </w:rPr>
        <w:t>The World Bank ESS2 defines four categories of project workers:</w:t>
      </w:r>
      <w:r w:rsidRPr="003919B6">
        <w:rPr>
          <w:rFonts w:cstheme="minorHAnsi"/>
          <w:b/>
          <w:bCs/>
          <w:sz w:val="24"/>
          <w:szCs w:val="24"/>
        </w:rPr>
        <w:tab/>
      </w:r>
    </w:p>
    <w:p w14:paraId="73247A5F" w14:textId="77777777" w:rsidR="00F1042D" w:rsidRPr="003919B6" w:rsidRDefault="00F1042D" w:rsidP="007C37A1">
      <w:pPr>
        <w:pStyle w:val="ListParagraph"/>
        <w:numPr>
          <w:ilvl w:val="0"/>
          <w:numId w:val="42"/>
        </w:numPr>
        <w:tabs>
          <w:tab w:val="left" w:pos="1530"/>
        </w:tabs>
        <w:autoSpaceDE/>
        <w:autoSpaceDN/>
        <w:adjustRightInd/>
        <w:spacing w:before="120" w:after="120"/>
        <w:ind w:left="360"/>
        <w:jc w:val="both"/>
        <w:rPr>
          <w:rFonts w:asciiTheme="minorHAnsi" w:hAnsiTheme="minorHAnsi" w:cstheme="minorHAnsi"/>
        </w:rPr>
      </w:pPr>
      <w:r w:rsidRPr="003919B6">
        <w:rPr>
          <w:rFonts w:asciiTheme="minorHAnsi" w:hAnsiTheme="minorHAnsi" w:cstheme="minorHAnsi"/>
          <w:b/>
          <w:bCs/>
        </w:rPr>
        <w:t xml:space="preserve">Direct workers </w:t>
      </w:r>
      <w:r w:rsidRPr="003919B6">
        <w:rPr>
          <w:rFonts w:asciiTheme="minorHAnsi" w:hAnsiTheme="minorHAnsi" w:cstheme="minorHAnsi"/>
        </w:rPr>
        <w:t>- people employed or engaged directly by the Implementing Agency, NCDDS, to work specifically in relation to the project.</w:t>
      </w:r>
    </w:p>
    <w:p w14:paraId="59777550" w14:textId="77777777" w:rsidR="00F1042D" w:rsidRPr="003919B6" w:rsidRDefault="00F1042D" w:rsidP="007C37A1">
      <w:pPr>
        <w:pStyle w:val="ListParagraph"/>
        <w:numPr>
          <w:ilvl w:val="0"/>
          <w:numId w:val="42"/>
        </w:numPr>
        <w:tabs>
          <w:tab w:val="left" w:pos="1530"/>
        </w:tabs>
        <w:autoSpaceDE/>
        <w:autoSpaceDN/>
        <w:adjustRightInd/>
        <w:spacing w:before="120" w:after="120"/>
        <w:ind w:left="360"/>
        <w:jc w:val="both"/>
        <w:rPr>
          <w:rFonts w:asciiTheme="minorHAnsi" w:hAnsiTheme="minorHAnsi" w:cstheme="minorHAnsi"/>
        </w:rPr>
      </w:pPr>
      <w:r w:rsidRPr="003919B6">
        <w:rPr>
          <w:rFonts w:asciiTheme="minorHAnsi" w:hAnsiTheme="minorHAnsi" w:cstheme="minorHAnsi"/>
          <w:b/>
          <w:bCs/>
        </w:rPr>
        <w:t xml:space="preserve">Contracted workers </w:t>
      </w:r>
      <w:r w:rsidRPr="003919B6">
        <w:rPr>
          <w:rFonts w:asciiTheme="minorHAnsi" w:hAnsiTheme="minorHAnsi" w:cstheme="minorHAnsi"/>
        </w:rPr>
        <w:t>- people employed or engaged by sub-grantees to perform work related to core functions of the project, regardless of their location.  The Cambodia Nutrition Project (CNP) will not employ any contracted workers.</w:t>
      </w:r>
    </w:p>
    <w:p w14:paraId="56DC5FFE" w14:textId="6F794195" w:rsidR="00F1042D" w:rsidRPr="00634DDD" w:rsidRDefault="00F1042D" w:rsidP="007C37A1">
      <w:pPr>
        <w:pStyle w:val="ListParagraph"/>
        <w:numPr>
          <w:ilvl w:val="0"/>
          <w:numId w:val="42"/>
        </w:numPr>
        <w:tabs>
          <w:tab w:val="left" w:pos="1530"/>
        </w:tabs>
        <w:autoSpaceDE/>
        <w:autoSpaceDN/>
        <w:adjustRightInd/>
        <w:spacing w:before="120" w:after="120"/>
        <w:ind w:left="360"/>
        <w:jc w:val="both"/>
        <w:rPr>
          <w:rFonts w:asciiTheme="minorHAnsi" w:hAnsiTheme="minorHAnsi" w:cstheme="minorHAnsi"/>
        </w:rPr>
      </w:pPr>
      <w:r w:rsidRPr="00634DDD">
        <w:rPr>
          <w:rFonts w:asciiTheme="minorHAnsi" w:hAnsiTheme="minorHAnsi" w:cstheme="minorHAnsi"/>
          <w:b/>
          <w:bCs/>
        </w:rPr>
        <w:t xml:space="preserve">Community workers </w:t>
      </w:r>
      <w:r w:rsidRPr="00634DDD">
        <w:rPr>
          <w:rFonts w:asciiTheme="minorHAnsi" w:hAnsiTheme="minorHAnsi" w:cstheme="minorHAnsi"/>
        </w:rPr>
        <w:t>- people engaged in providing community labor, generally voluntarily. Community workers will be mobilized and supported by the sub-grantees.  The Cambodia Nutrition Project (CNP) will not involve any community workers.</w:t>
      </w:r>
      <w:r w:rsidR="006C7B7E" w:rsidRPr="00634DDD">
        <w:rPr>
          <w:rFonts w:asciiTheme="minorHAnsi" w:hAnsiTheme="minorHAnsi" w:cstheme="minorHAnsi"/>
        </w:rPr>
        <w:t xml:space="preserve"> </w:t>
      </w:r>
    </w:p>
    <w:p w14:paraId="0D82C6D0" w14:textId="7B626F4A" w:rsidR="00EE56C3" w:rsidRPr="00843B59" w:rsidRDefault="00F1042D" w:rsidP="007C37A1">
      <w:pPr>
        <w:pStyle w:val="ListParagraph"/>
        <w:numPr>
          <w:ilvl w:val="0"/>
          <w:numId w:val="42"/>
        </w:numPr>
        <w:tabs>
          <w:tab w:val="left" w:pos="1530"/>
        </w:tabs>
        <w:autoSpaceDE/>
        <w:autoSpaceDN/>
        <w:adjustRightInd/>
        <w:spacing w:before="120" w:after="120"/>
        <w:ind w:left="360"/>
        <w:jc w:val="both"/>
        <w:rPr>
          <w:rFonts w:asciiTheme="minorHAnsi" w:hAnsiTheme="minorHAnsi" w:cstheme="minorHAnsi"/>
        </w:rPr>
      </w:pPr>
      <w:r w:rsidRPr="00843B59">
        <w:rPr>
          <w:rFonts w:asciiTheme="minorHAnsi" w:hAnsiTheme="minorHAnsi" w:cstheme="minorHAnsi"/>
          <w:b/>
          <w:bCs/>
        </w:rPr>
        <w:t xml:space="preserve">Primary supply workers </w:t>
      </w:r>
      <w:r w:rsidRPr="00843B59">
        <w:rPr>
          <w:rFonts w:asciiTheme="minorHAnsi" w:hAnsiTheme="minorHAnsi" w:cstheme="minorHAnsi"/>
        </w:rPr>
        <w:t>- people employed or engaged by primary suppliers to NCDDS and sub-grantees. Primary suppliers are those suppliers who, on an ongoing basis, provide directly to the project goods or materials essential for the core functions of the project. They will not be addressed under this LMP.  The Cambodia Nutrition Project (CNP-I) does not require services from primary supply providers and hence, risks associated with this category of project workers are not envisaged under CNP-II.”</w:t>
      </w:r>
    </w:p>
    <w:p w14:paraId="60863833" w14:textId="7AF3C639" w:rsidR="00EE56C3" w:rsidRPr="00843B59" w:rsidRDefault="002C6BDD" w:rsidP="007C37A1">
      <w:pPr>
        <w:pStyle w:val="ListParagraph"/>
        <w:tabs>
          <w:tab w:val="left" w:pos="1440"/>
        </w:tabs>
        <w:autoSpaceDE/>
        <w:autoSpaceDN/>
        <w:adjustRightInd/>
        <w:spacing w:before="120" w:after="120"/>
        <w:ind w:left="0" w:firstLine="0"/>
        <w:jc w:val="both"/>
        <w:rPr>
          <w:rFonts w:asciiTheme="minorHAnsi" w:hAnsiTheme="minorHAnsi" w:cstheme="minorHAnsi"/>
        </w:rPr>
      </w:pPr>
      <w:r w:rsidRPr="00843B59">
        <w:rPr>
          <w:rFonts w:asciiTheme="minorHAnsi" w:hAnsiTheme="minorHAnsi" w:cstheme="minorHAnsi"/>
        </w:rPr>
        <w:fldChar w:fldCharType="begin"/>
      </w:r>
      <w:r w:rsidRPr="00843B59">
        <w:rPr>
          <w:rFonts w:asciiTheme="minorHAnsi" w:hAnsiTheme="minorHAnsi" w:cstheme="minorHAnsi"/>
        </w:rPr>
        <w:instrText xml:space="preserve"> REF _Ref88582966 \h </w:instrText>
      </w:r>
      <w:r w:rsidR="00843B59">
        <w:rPr>
          <w:rFonts w:asciiTheme="minorHAnsi" w:hAnsiTheme="minorHAnsi" w:cstheme="minorHAnsi"/>
        </w:rPr>
        <w:instrText xml:space="preserve"> \* MERGEFORMAT </w:instrText>
      </w:r>
      <w:r w:rsidRPr="00843B59">
        <w:rPr>
          <w:rFonts w:asciiTheme="minorHAnsi" w:hAnsiTheme="minorHAnsi" w:cstheme="minorHAnsi"/>
        </w:rPr>
      </w:r>
      <w:r w:rsidRPr="00843B59">
        <w:rPr>
          <w:rFonts w:asciiTheme="minorHAnsi" w:hAnsiTheme="minorHAnsi" w:cstheme="minorHAnsi"/>
        </w:rPr>
        <w:fldChar w:fldCharType="separate"/>
      </w:r>
      <w:r w:rsidR="000E600F" w:rsidRPr="00EE56C3">
        <w:rPr>
          <w:rFonts w:asciiTheme="minorHAnsi" w:hAnsiTheme="minorHAnsi" w:cstheme="minorHAnsi"/>
        </w:rPr>
        <w:t xml:space="preserve">Table </w:t>
      </w:r>
      <w:r w:rsidR="000E600F">
        <w:rPr>
          <w:rFonts w:asciiTheme="minorHAnsi" w:hAnsiTheme="minorHAnsi" w:cstheme="minorHAnsi"/>
          <w:noProof/>
        </w:rPr>
        <w:t>4</w:t>
      </w:r>
      <w:r w:rsidRPr="00843B59">
        <w:rPr>
          <w:rFonts w:asciiTheme="minorHAnsi" w:hAnsiTheme="minorHAnsi" w:cstheme="minorHAnsi"/>
        </w:rPr>
        <w:fldChar w:fldCharType="end"/>
      </w:r>
      <w:r w:rsidRPr="00843B59">
        <w:rPr>
          <w:rFonts w:asciiTheme="minorHAnsi" w:hAnsiTheme="minorHAnsi" w:cstheme="minorHAnsi"/>
        </w:rPr>
        <w:t xml:space="preserve"> illustrates the typology of project workers under the CNP-I. The LMP envisages retainment of </w:t>
      </w:r>
      <w:r w:rsidR="007C61FD" w:rsidRPr="00843B59">
        <w:rPr>
          <w:rFonts w:asciiTheme="minorHAnsi" w:hAnsiTheme="minorHAnsi" w:cstheme="minorHAnsi"/>
        </w:rPr>
        <w:t xml:space="preserve">project staff currently supporting C/S SDGs </w:t>
      </w:r>
      <w:r w:rsidR="00185E23" w:rsidRPr="00843B59">
        <w:rPr>
          <w:rFonts w:asciiTheme="minorHAnsi" w:hAnsiTheme="minorHAnsi" w:cstheme="minorHAnsi"/>
        </w:rPr>
        <w:t xml:space="preserve">and project management under NCDDS. Additional personnel, particularly for the additional 2-3 provinces may be hired under CNP-II. </w:t>
      </w:r>
      <w:r w:rsidR="00C12742">
        <w:rPr>
          <w:rFonts w:asciiTheme="minorHAnsi" w:hAnsiTheme="minorHAnsi" w:cstheme="minorHAnsi"/>
        </w:rPr>
        <w:t>The planned personnel requirements will be assessed during project implementation and these will be based on needs, including for the purpose of the implementation of environmental and social requirements under CNP-II.</w:t>
      </w:r>
    </w:p>
    <w:p w14:paraId="2C7BBCE5" w14:textId="77777777" w:rsidR="00843B59" w:rsidRPr="003919B6" w:rsidRDefault="00843B59" w:rsidP="002C6BDD">
      <w:pPr>
        <w:pStyle w:val="ListParagraph"/>
        <w:tabs>
          <w:tab w:val="left" w:pos="1440"/>
        </w:tabs>
        <w:autoSpaceDE/>
        <w:autoSpaceDN/>
        <w:adjustRightInd/>
        <w:spacing w:before="120" w:after="120"/>
        <w:ind w:left="720" w:firstLine="0"/>
        <w:contextualSpacing/>
        <w:jc w:val="both"/>
        <w:rPr>
          <w:rFonts w:asciiTheme="minorHAnsi" w:hAnsiTheme="minorHAnsi" w:cstheme="minorHAnsi"/>
        </w:rPr>
      </w:pPr>
    </w:p>
    <w:p w14:paraId="47DA967F" w14:textId="46E3D1FF" w:rsidR="00D911B0" w:rsidRPr="00EE56C3" w:rsidRDefault="00D911B0" w:rsidP="00EE56C3">
      <w:pPr>
        <w:pStyle w:val="Caption"/>
        <w:spacing w:before="120"/>
        <w:rPr>
          <w:rFonts w:asciiTheme="minorHAnsi" w:hAnsiTheme="minorHAnsi" w:cstheme="minorHAnsi"/>
          <w:sz w:val="24"/>
          <w:szCs w:val="24"/>
        </w:rPr>
      </w:pPr>
      <w:bookmarkStart w:id="16" w:name="_Ref88582966"/>
      <w:r w:rsidRPr="00EE56C3">
        <w:rPr>
          <w:rFonts w:asciiTheme="minorHAnsi" w:hAnsiTheme="minorHAnsi" w:cstheme="minorHAnsi"/>
          <w:sz w:val="24"/>
          <w:szCs w:val="24"/>
        </w:rPr>
        <w:lastRenderedPageBreak/>
        <w:t xml:space="preserve">Table </w:t>
      </w:r>
      <w:r w:rsidRPr="00EE56C3">
        <w:rPr>
          <w:rFonts w:asciiTheme="minorHAnsi" w:hAnsiTheme="minorHAnsi" w:cstheme="minorHAnsi"/>
          <w:sz w:val="24"/>
          <w:szCs w:val="24"/>
        </w:rPr>
        <w:fldChar w:fldCharType="begin"/>
      </w:r>
      <w:r w:rsidRPr="00EE56C3">
        <w:rPr>
          <w:rFonts w:asciiTheme="minorHAnsi" w:hAnsiTheme="minorHAnsi" w:cstheme="minorHAnsi"/>
          <w:sz w:val="24"/>
          <w:szCs w:val="24"/>
        </w:rPr>
        <w:instrText xml:space="preserve"> SEQ Table \* ARABIC </w:instrText>
      </w:r>
      <w:r w:rsidRPr="00EE56C3">
        <w:rPr>
          <w:rFonts w:asciiTheme="minorHAnsi" w:hAnsiTheme="minorHAnsi" w:cstheme="minorHAnsi"/>
          <w:sz w:val="24"/>
          <w:szCs w:val="24"/>
        </w:rPr>
        <w:fldChar w:fldCharType="separate"/>
      </w:r>
      <w:r w:rsidR="000E600F">
        <w:rPr>
          <w:rFonts w:asciiTheme="minorHAnsi" w:hAnsiTheme="minorHAnsi" w:cstheme="minorHAnsi"/>
          <w:noProof/>
          <w:sz w:val="24"/>
          <w:szCs w:val="24"/>
        </w:rPr>
        <w:t>4</w:t>
      </w:r>
      <w:r w:rsidRPr="00EE56C3">
        <w:rPr>
          <w:rFonts w:asciiTheme="minorHAnsi" w:hAnsiTheme="minorHAnsi" w:cstheme="minorHAnsi"/>
          <w:sz w:val="24"/>
          <w:szCs w:val="24"/>
        </w:rPr>
        <w:fldChar w:fldCharType="end"/>
      </w:r>
      <w:bookmarkEnd w:id="16"/>
      <w:r w:rsidRPr="00EE56C3">
        <w:rPr>
          <w:rFonts w:asciiTheme="minorHAnsi" w:hAnsiTheme="minorHAnsi" w:cstheme="minorHAnsi"/>
          <w:sz w:val="24"/>
          <w:szCs w:val="24"/>
          <w:lang w:val="en-US"/>
        </w:rPr>
        <w:t>: CNP-I Project Workers</w:t>
      </w:r>
      <w:r w:rsidR="00F1042D" w:rsidRPr="00EE56C3">
        <w:rPr>
          <w:rFonts w:asciiTheme="minorHAnsi" w:hAnsiTheme="minorHAnsi" w:cstheme="minorHAnsi"/>
          <w:sz w:val="24"/>
          <w:szCs w:val="24"/>
        </w:rPr>
        <w:t xml:space="preserve"> </w:t>
      </w:r>
    </w:p>
    <w:tbl>
      <w:tblPr>
        <w:tblStyle w:val="TableGrid"/>
        <w:tblW w:w="9000" w:type="dxa"/>
        <w:tblInd w:w="-5" w:type="dxa"/>
        <w:tblLook w:val="04A0" w:firstRow="1" w:lastRow="0" w:firstColumn="1" w:lastColumn="0" w:noHBand="0" w:noVBand="1"/>
      </w:tblPr>
      <w:tblGrid>
        <w:gridCol w:w="2089"/>
        <w:gridCol w:w="1445"/>
        <w:gridCol w:w="1991"/>
        <w:gridCol w:w="1717"/>
        <w:gridCol w:w="1758"/>
      </w:tblGrid>
      <w:tr w:rsidR="00F1042D" w:rsidRPr="00D911B0" w14:paraId="4848E6DE" w14:textId="77777777" w:rsidTr="007C37A1">
        <w:tc>
          <w:tcPr>
            <w:tcW w:w="2089" w:type="dxa"/>
          </w:tcPr>
          <w:p w14:paraId="58BE4102" w14:textId="77777777" w:rsidR="00F1042D" w:rsidRPr="00D911B0" w:rsidRDefault="00F1042D" w:rsidP="00D911B0">
            <w:pPr>
              <w:contextualSpacing/>
              <w:rPr>
                <w:rFonts w:cstheme="minorHAnsi"/>
                <w:b/>
                <w:bCs/>
                <w:sz w:val="24"/>
                <w:szCs w:val="24"/>
              </w:rPr>
            </w:pPr>
            <w:r w:rsidRPr="00D911B0">
              <w:rPr>
                <w:rFonts w:cstheme="minorHAnsi"/>
                <w:b/>
                <w:bCs/>
                <w:sz w:val="24"/>
                <w:szCs w:val="24"/>
              </w:rPr>
              <w:t>Project Component</w:t>
            </w:r>
          </w:p>
        </w:tc>
        <w:tc>
          <w:tcPr>
            <w:tcW w:w="1445" w:type="dxa"/>
          </w:tcPr>
          <w:p w14:paraId="15D0DF24" w14:textId="77777777" w:rsidR="00F1042D" w:rsidRPr="00D911B0" w:rsidRDefault="00F1042D" w:rsidP="00D911B0">
            <w:pPr>
              <w:contextualSpacing/>
              <w:rPr>
                <w:rFonts w:cstheme="minorHAnsi"/>
                <w:b/>
                <w:bCs/>
                <w:sz w:val="24"/>
                <w:szCs w:val="24"/>
              </w:rPr>
            </w:pPr>
            <w:r w:rsidRPr="00D911B0">
              <w:rPr>
                <w:rFonts w:cstheme="minorHAnsi"/>
                <w:b/>
                <w:bCs/>
                <w:sz w:val="24"/>
                <w:szCs w:val="24"/>
              </w:rPr>
              <w:t>Estimated Number of Project Workers</w:t>
            </w:r>
          </w:p>
        </w:tc>
        <w:tc>
          <w:tcPr>
            <w:tcW w:w="1991" w:type="dxa"/>
          </w:tcPr>
          <w:p w14:paraId="090D33C2" w14:textId="77777777" w:rsidR="00F1042D" w:rsidRPr="00D911B0" w:rsidRDefault="00F1042D" w:rsidP="00D911B0">
            <w:pPr>
              <w:contextualSpacing/>
              <w:rPr>
                <w:rFonts w:cstheme="minorHAnsi"/>
                <w:b/>
                <w:bCs/>
                <w:sz w:val="24"/>
                <w:szCs w:val="24"/>
              </w:rPr>
            </w:pPr>
            <w:r w:rsidRPr="00D911B0">
              <w:rPr>
                <w:rFonts w:cstheme="minorHAnsi"/>
                <w:b/>
                <w:bCs/>
                <w:sz w:val="24"/>
                <w:szCs w:val="24"/>
              </w:rPr>
              <w:t>Characteristics of Project Workers</w:t>
            </w:r>
          </w:p>
        </w:tc>
        <w:tc>
          <w:tcPr>
            <w:tcW w:w="1717" w:type="dxa"/>
          </w:tcPr>
          <w:p w14:paraId="5A875E7C" w14:textId="77777777" w:rsidR="00F1042D" w:rsidRPr="00D911B0" w:rsidRDefault="00F1042D" w:rsidP="00D911B0">
            <w:pPr>
              <w:contextualSpacing/>
              <w:rPr>
                <w:rFonts w:cstheme="minorHAnsi"/>
                <w:b/>
                <w:bCs/>
                <w:sz w:val="24"/>
                <w:szCs w:val="24"/>
              </w:rPr>
            </w:pPr>
            <w:r w:rsidRPr="00D911B0">
              <w:rPr>
                <w:rFonts w:cstheme="minorHAnsi"/>
                <w:b/>
                <w:bCs/>
                <w:sz w:val="24"/>
                <w:szCs w:val="24"/>
              </w:rPr>
              <w:t>Timing of Labor Requirements</w:t>
            </w:r>
          </w:p>
        </w:tc>
        <w:tc>
          <w:tcPr>
            <w:tcW w:w="1758" w:type="dxa"/>
          </w:tcPr>
          <w:p w14:paraId="1640A00E" w14:textId="77777777" w:rsidR="00F1042D" w:rsidRPr="00D911B0" w:rsidRDefault="00F1042D" w:rsidP="00D911B0">
            <w:pPr>
              <w:contextualSpacing/>
              <w:rPr>
                <w:rFonts w:cstheme="minorHAnsi"/>
                <w:b/>
                <w:bCs/>
                <w:sz w:val="24"/>
                <w:szCs w:val="24"/>
              </w:rPr>
            </w:pPr>
            <w:r w:rsidRPr="00D911B0">
              <w:rPr>
                <w:rFonts w:cstheme="minorHAnsi"/>
                <w:b/>
                <w:bCs/>
                <w:sz w:val="24"/>
                <w:szCs w:val="24"/>
              </w:rPr>
              <w:t>Direct Workers, Community Workers</w:t>
            </w:r>
          </w:p>
        </w:tc>
      </w:tr>
      <w:tr w:rsidR="00F1042D" w:rsidRPr="00D911B0" w14:paraId="3510E1A8" w14:textId="77777777" w:rsidTr="007C37A1">
        <w:tc>
          <w:tcPr>
            <w:tcW w:w="2089" w:type="dxa"/>
          </w:tcPr>
          <w:p w14:paraId="2FCDABD0"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Component 1 CNP-I:  Strengthening the Delivery of Priority Health Services</w:t>
            </w:r>
          </w:p>
        </w:tc>
        <w:tc>
          <w:tcPr>
            <w:tcW w:w="1445" w:type="dxa"/>
          </w:tcPr>
          <w:p w14:paraId="5D4B7037" w14:textId="2C2644C8" w:rsidR="00F1042D" w:rsidRPr="00D911B0" w:rsidRDefault="00F1042D" w:rsidP="00D911B0">
            <w:pPr>
              <w:pStyle w:val="NoSpacing"/>
              <w:contextualSpacing/>
              <w:rPr>
                <w:rFonts w:cstheme="minorHAnsi"/>
                <w:sz w:val="24"/>
                <w:szCs w:val="24"/>
              </w:rPr>
            </w:pPr>
            <w:r w:rsidRPr="00D911B0">
              <w:rPr>
                <w:rFonts w:cstheme="minorHAnsi"/>
                <w:sz w:val="24"/>
                <w:szCs w:val="24"/>
              </w:rPr>
              <w:t xml:space="preserve">6 </w:t>
            </w:r>
          </w:p>
          <w:p w14:paraId="277E4C41" w14:textId="77777777" w:rsidR="00EE56C3" w:rsidRDefault="00EE56C3" w:rsidP="00D911B0">
            <w:pPr>
              <w:pStyle w:val="NoSpacing"/>
              <w:contextualSpacing/>
              <w:rPr>
                <w:rFonts w:cstheme="minorHAnsi"/>
                <w:sz w:val="24"/>
                <w:szCs w:val="24"/>
              </w:rPr>
            </w:pPr>
          </w:p>
          <w:p w14:paraId="321CE7E4" w14:textId="23E1C639" w:rsidR="00F1042D" w:rsidRPr="00D911B0" w:rsidRDefault="00F1042D" w:rsidP="00D911B0">
            <w:pPr>
              <w:pStyle w:val="NoSpacing"/>
              <w:contextualSpacing/>
              <w:rPr>
                <w:rFonts w:cstheme="minorHAnsi"/>
                <w:sz w:val="24"/>
                <w:szCs w:val="24"/>
              </w:rPr>
            </w:pPr>
            <w:r w:rsidRPr="00D911B0">
              <w:rPr>
                <w:rFonts w:cstheme="minorHAnsi"/>
                <w:sz w:val="24"/>
                <w:szCs w:val="24"/>
              </w:rPr>
              <w:t>6</w:t>
            </w:r>
          </w:p>
          <w:p w14:paraId="19F8DD9D" w14:textId="77777777" w:rsidR="00F1042D" w:rsidRPr="00D911B0" w:rsidRDefault="00F1042D" w:rsidP="00D911B0">
            <w:pPr>
              <w:pStyle w:val="NoSpacing"/>
              <w:contextualSpacing/>
              <w:rPr>
                <w:rFonts w:cstheme="minorHAnsi"/>
                <w:sz w:val="24"/>
                <w:szCs w:val="24"/>
              </w:rPr>
            </w:pPr>
          </w:p>
          <w:p w14:paraId="5A85497C" w14:textId="77777777" w:rsidR="00F1042D" w:rsidRPr="00D911B0" w:rsidRDefault="00F1042D" w:rsidP="00D911B0">
            <w:pPr>
              <w:pStyle w:val="NoSpacing"/>
              <w:contextualSpacing/>
              <w:rPr>
                <w:rFonts w:cstheme="minorHAnsi"/>
                <w:sz w:val="24"/>
                <w:szCs w:val="24"/>
              </w:rPr>
            </w:pPr>
          </w:p>
        </w:tc>
        <w:tc>
          <w:tcPr>
            <w:tcW w:w="1991" w:type="dxa"/>
          </w:tcPr>
          <w:p w14:paraId="46610113"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 xml:space="preserve">Project Coordinators </w:t>
            </w:r>
          </w:p>
          <w:p w14:paraId="612B7AB8"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Trainers</w:t>
            </w:r>
          </w:p>
          <w:p w14:paraId="5C0FD0F7" w14:textId="77777777" w:rsidR="00F1042D" w:rsidRPr="00D911B0" w:rsidRDefault="00F1042D" w:rsidP="00D911B0">
            <w:pPr>
              <w:pStyle w:val="NoSpacing"/>
              <w:contextualSpacing/>
              <w:rPr>
                <w:rFonts w:cstheme="minorHAnsi"/>
                <w:sz w:val="24"/>
                <w:szCs w:val="24"/>
              </w:rPr>
            </w:pPr>
          </w:p>
          <w:p w14:paraId="65D071B0" w14:textId="77777777" w:rsidR="00F1042D" w:rsidRPr="00D911B0" w:rsidRDefault="00F1042D" w:rsidP="00D911B0">
            <w:pPr>
              <w:pStyle w:val="NoSpacing"/>
              <w:contextualSpacing/>
              <w:rPr>
                <w:rFonts w:cstheme="minorHAnsi"/>
                <w:sz w:val="24"/>
                <w:szCs w:val="24"/>
              </w:rPr>
            </w:pPr>
          </w:p>
        </w:tc>
        <w:tc>
          <w:tcPr>
            <w:tcW w:w="1717" w:type="dxa"/>
          </w:tcPr>
          <w:p w14:paraId="08A6649A"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Throughout project cycle</w:t>
            </w:r>
          </w:p>
          <w:p w14:paraId="726E1E7E" w14:textId="77777777" w:rsidR="00F1042D" w:rsidRPr="00D911B0" w:rsidRDefault="00F1042D" w:rsidP="00D911B0">
            <w:pPr>
              <w:pStyle w:val="NoSpacing"/>
              <w:contextualSpacing/>
              <w:rPr>
                <w:rFonts w:cstheme="minorHAnsi"/>
                <w:sz w:val="24"/>
                <w:szCs w:val="24"/>
              </w:rPr>
            </w:pPr>
          </w:p>
          <w:p w14:paraId="0594AA9C" w14:textId="32BCC873" w:rsidR="00F1042D" w:rsidRPr="00D911B0" w:rsidRDefault="00F1042D" w:rsidP="00D911B0">
            <w:pPr>
              <w:pStyle w:val="NoSpacing"/>
              <w:contextualSpacing/>
              <w:rPr>
                <w:rFonts w:cstheme="minorHAnsi"/>
                <w:sz w:val="24"/>
                <w:szCs w:val="24"/>
              </w:rPr>
            </w:pPr>
          </w:p>
        </w:tc>
        <w:tc>
          <w:tcPr>
            <w:tcW w:w="1758" w:type="dxa"/>
          </w:tcPr>
          <w:p w14:paraId="3361C644"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Direct workers</w:t>
            </w:r>
          </w:p>
          <w:p w14:paraId="5AEB137E" w14:textId="77777777" w:rsidR="00F1042D" w:rsidRPr="00D911B0" w:rsidRDefault="00F1042D" w:rsidP="00D911B0">
            <w:pPr>
              <w:pStyle w:val="NoSpacing"/>
              <w:contextualSpacing/>
              <w:rPr>
                <w:rFonts w:cstheme="minorHAnsi"/>
                <w:sz w:val="24"/>
                <w:szCs w:val="24"/>
              </w:rPr>
            </w:pPr>
          </w:p>
          <w:p w14:paraId="0757B606" w14:textId="77777777" w:rsidR="00F1042D" w:rsidRPr="00D911B0" w:rsidRDefault="00F1042D" w:rsidP="00D911B0">
            <w:pPr>
              <w:pStyle w:val="NoSpacing"/>
              <w:contextualSpacing/>
              <w:rPr>
                <w:rFonts w:cstheme="minorHAnsi"/>
                <w:sz w:val="24"/>
                <w:szCs w:val="24"/>
              </w:rPr>
            </w:pPr>
          </w:p>
          <w:p w14:paraId="4AEEB136" w14:textId="77777777" w:rsidR="00F1042D" w:rsidRPr="00D911B0" w:rsidRDefault="00F1042D" w:rsidP="00D911B0">
            <w:pPr>
              <w:pStyle w:val="NoSpacing"/>
              <w:contextualSpacing/>
              <w:rPr>
                <w:rFonts w:cstheme="minorHAnsi"/>
                <w:sz w:val="24"/>
                <w:szCs w:val="24"/>
              </w:rPr>
            </w:pPr>
          </w:p>
          <w:p w14:paraId="28147D1F" w14:textId="6C425507" w:rsidR="00F1042D" w:rsidRPr="00D911B0" w:rsidRDefault="00F1042D" w:rsidP="00D911B0">
            <w:pPr>
              <w:pStyle w:val="NoSpacing"/>
              <w:contextualSpacing/>
              <w:rPr>
                <w:rFonts w:cstheme="minorHAnsi"/>
                <w:sz w:val="24"/>
                <w:szCs w:val="24"/>
              </w:rPr>
            </w:pPr>
          </w:p>
        </w:tc>
      </w:tr>
      <w:tr w:rsidR="00F1042D" w:rsidRPr="00D911B0" w14:paraId="48869176" w14:textId="77777777" w:rsidTr="007C37A1">
        <w:tc>
          <w:tcPr>
            <w:tcW w:w="2089" w:type="dxa"/>
          </w:tcPr>
          <w:p w14:paraId="63ADCA3D"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Component 2 CNP-I: Stimulating demand and accountability at the community level</w:t>
            </w:r>
          </w:p>
        </w:tc>
        <w:tc>
          <w:tcPr>
            <w:tcW w:w="1445" w:type="dxa"/>
          </w:tcPr>
          <w:p w14:paraId="1D3468B1"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4</w:t>
            </w:r>
          </w:p>
          <w:p w14:paraId="7EA122AB" w14:textId="77777777" w:rsidR="00F1042D" w:rsidRPr="00D911B0" w:rsidRDefault="00F1042D" w:rsidP="00D911B0">
            <w:pPr>
              <w:pStyle w:val="NoSpacing"/>
              <w:contextualSpacing/>
              <w:rPr>
                <w:rFonts w:cstheme="minorHAnsi"/>
                <w:sz w:val="24"/>
                <w:szCs w:val="24"/>
              </w:rPr>
            </w:pPr>
          </w:p>
          <w:p w14:paraId="06BBE832"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5</w:t>
            </w:r>
          </w:p>
        </w:tc>
        <w:tc>
          <w:tcPr>
            <w:tcW w:w="1991" w:type="dxa"/>
          </w:tcPr>
          <w:p w14:paraId="71C77331"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 xml:space="preserve">Project Coordinators </w:t>
            </w:r>
          </w:p>
          <w:p w14:paraId="59F5900B" w14:textId="77777777" w:rsidR="00F1042D" w:rsidRPr="00D911B0" w:rsidRDefault="00F1042D" w:rsidP="00D911B0">
            <w:pPr>
              <w:pStyle w:val="NoSpacing"/>
              <w:contextualSpacing/>
              <w:rPr>
                <w:rFonts w:cstheme="minorHAnsi"/>
                <w:color w:val="000000"/>
                <w:sz w:val="24"/>
                <w:szCs w:val="24"/>
              </w:rPr>
            </w:pPr>
            <w:r w:rsidRPr="00D911B0">
              <w:rPr>
                <w:rFonts w:cstheme="minorHAnsi"/>
                <w:color w:val="000000"/>
                <w:sz w:val="24"/>
                <w:szCs w:val="24"/>
              </w:rPr>
              <w:t xml:space="preserve">Field facilitators               </w:t>
            </w:r>
          </w:p>
          <w:p w14:paraId="3CA3CA5E" w14:textId="77777777" w:rsidR="00F1042D" w:rsidRPr="00D911B0" w:rsidRDefault="00F1042D" w:rsidP="00D911B0">
            <w:pPr>
              <w:pStyle w:val="NoSpacing"/>
              <w:contextualSpacing/>
              <w:rPr>
                <w:rFonts w:cstheme="minorHAnsi"/>
                <w:color w:val="000000"/>
                <w:sz w:val="24"/>
                <w:szCs w:val="24"/>
              </w:rPr>
            </w:pPr>
          </w:p>
          <w:p w14:paraId="72973FDA" w14:textId="77777777" w:rsidR="00F1042D" w:rsidRPr="00D911B0" w:rsidRDefault="00F1042D" w:rsidP="00D911B0">
            <w:pPr>
              <w:pStyle w:val="NoSpacing"/>
              <w:contextualSpacing/>
              <w:rPr>
                <w:rFonts w:cstheme="minorHAnsi"/>
                <w:sz w:val="24"/>
                <w:szCs w:val="24"/>
              </w:rPr>
            </w:pPr>
          </w:p>
        </w:tc>
        <w:tc>
          <w:tcPr>
            <w:tcW w:w="1717" w:type="dxa"/>
          </w:tcPr>
          <w:p w14:paraId="2F7987E1"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Throughout project cycle</w:t>
            </w:r>
          </w:p>
          <w:p w14:paraId="645E9BFA" w14:textId="3CFC3652" w:rsidR="00F1042D" w:rsidRPr="00D911B0" w:rsidRDefault="00F1042D" w:rsidP="00D911B0">
            <w:pPr>
              <w:pStyle w:val="NoSpacing"/>
              <w:contextualSpacing/>
              <w:rPr>
                <w:rFonts w:cstheme="minorHAnsi"/>
                <w:sz w:val="24"/>
                <w:szCs w:val="24"/>
              </w:rPr>
            </w:pPr>
          </w:p>
        </w:tc>
        <w:tc>
          <w:tcPr>
            <w:tcW w:w="1758" w:type="dxa"/>
          </w:tcPr>
          <w:p w14:paraId="1C92AC79"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Direct workers</w:t>
            </w:r>
          </w:p>
          <w:p w14:paraId="41EF71F4" w14:textId="77777777" w:rsidR="00F1042D" w:rsidRPr="00D911B0" w:rsidRDefault="00F1042D" w:rsidP="00D911B0">
            <w:pPr>
              <w:pStyle w:val="NoSpacing"/>
              <w:contextualSpacing/>
              <w:rPr>
                <w:rFonts w:cstheme="minorHAnsi"/>
                <w:sz w:val="24"/>
                <w:szCs w:val="24"/>
              </w:rPr>
            </w:pPr>
          </w:p>
          <w:p w14:paraId="2A0AF493" w14:textId="77777777" w:rsidR="00F1042D" w:rsidRPr="00D911B0" w:rsidRDefault="00F1042D" w:rsidP="00D911B0">
            <w:pPr>
              <w:pStyle w:val="NoSpacing"/>
              <w:contextualSpacing/>
              <w:rPr>
                <w:rFonts w:cstheme="minorHAnsi"/>
                <w:sz w:val="24"/>
                <w:szCs w:val="24"/>
              </w:rPr>
            </w:pPr>
          </w:p>
          <w:p w14:paraId="015582C6" w14:textId="77777777" w:rsidR="00F1042D" w:rsidRPr="00D911B0" w:rsidRDefault="00F1042D" w:rsidP="00D911B0">
            <w:pPr>
              <w:pStyle w:val="NoSpacing"/>
              <w:contextualSpacing/>
              <w:rPr>
                <w:rFonts w:cstheme="minorHAnsi"/>
                <w:sz w:val="24"/>
                <w:szCs w:val="24"/>
              </w:rPr>
            </w:pPr>
          </w:p>
        </w:tc>
      </w:tr>
      <w:tr w:rsidR="00F1042D" w:rsidRPr="00D911B0" w14:paraId="57C72521" w14:textId="77777777" w:rsidTr="007C37A1">
        <w:trPr>
          <w:trHeight w:val="1196"/>
        </w:trPr>
        <w:tc>
          <w:tcPr>
            <w:tcW w:w="2089" w:type="dxa"/>
          </w:tcPr>
          <w:p w14:paraId="6D874A29" w14:textId="59E77408" w:rsidR="00EE56C3" w:rsidRPr="00EE56C3" w:rsidRDefault="00F1042D" w:rsidP="00EE56C3">
            <w:pPr>
              <w:pStyle w:val="NoSpacing"/>
              <w:contextualSpacing/>
              <w:rPr>
                <w:rFonts w:cstheme="minorHAnsi"/>
                <w:sz w:val="24"/>
                <w:szCs w:val="24"/>
              </w:rPr>
            </w:pPr>
            <w:r w:rsidRPr="00D911B0">
              <w:rPr>
                <w:rFonts w:cstheme="minorHAnsi"/>
                <w:sz w:val="24"/>
                <w:szCs w:val="24"/>
              </w:rPr>
              <w:t>Component 3 CNP-I: Ensuring</w:t>
            </w:r>
            <w:r w:rsidRPr="00D911B0">
              <w:rPr>
                <w:rFonts w:cstheme="minorHAnsi"/>
                <w:spacing w:val="-3"/>
                <w:sz w:val="24"/>
                <w:szCs w:val="24"/>
              </w:rPr>
              <w:t xml:space="preserve"> </w:t>
            </w:r>
            <w:r w:rsidRPr="00D911B0">
              <w:rPr>
                <w:rFonts w:cstheme="minorHAnsi"/>
                <w:sz w:val="24"/>
                <w:szCs w:val="24"/>
              </w:rPr>
              <w:t>an</w:t>
            </w:r>
            <w:r w:rsidRPr="00D911B0">
              <w:rPr>
                <w:rFonts w:cstheme="minorHAnsi"/>
                <w:spacing w:val="1"/>
                <w:sz w:val="24"/>
                <w:szCs w:val="24"/>
              </w:rPr>
              <w:t xml:space="preserve"> </w:t>
            </w:r>
            <w:r w:rsidRPr="00D911B0">
              <w:rPr>
                <w:rFonts w:cstheme="minorHAnsi"/>
                <w:sz w:val="24"/>
                <w:szCs w:val="24"/>
              </w:rPr>
              <w:t>Effective,</w:t>
            </w:r>
            <w:r w:rsidRPr="00D911B0">
              <w:rPr>
                <w:rFonts w:cstheme="minorHAnsi"/>
                <w:spacing w:val="1"/>
                <w:sz w:val="24"/>
                <w:szCs w:val="24"/>
              </w:rPr>
              <w:t xml:space="preserve"> </w:t>
            </w:r>
            <w:r w:rsidRPr="00D911B0">
              <w:rPr>
                <w:rFonts w:cstheme="minorHAnsi"/>
                <w:sz w:val="24"/>
                <w:szCs w:val="24"/>
              </w:rPr>
              <w:t>Sustainable</w:t>
            </w:r>
            <w:r w:rsidRPr="00D911B0">
              <w:rPr>
                <w:rFonts w:cstheme="minorHAnsi"/>
                <w:spacing w:val="-3"/>
                <w:sz w:val="24"/>
                <w:szCs w:val="24"/>
              </w:rPr>
              <w:t xml:space="preserve"> </w:t>
            </w:r>
            <w:r w:rsidRPr="00D911B0">
              <w:rPr>
                <w:rFonts w:cstheme="minorHAnsi"/>
                <w:sz w:val="24"/>
                <w:szCs w:val="24"/>
              </w:rPr>
              <w:t>Response</w:t>
            </w:r>
          </w:p>
        </w:tc>
        <w:tc>
          <w:tcPr>
            <w:tcW w:w="1445" w:type="dxa"/>
          </w:tcPr>
          <w:p w14:paraId="1E741461" w14:textId="2F0CE3CE" w:rsidR="00F1042D" w:rsidRPr="00D911B0" w:rsidRDefault="00F1042D" w:rsidP="00D911B0">
            <w:pPr>
              <w:pStyle w:val="NoSpacing"/>
              <w:contextualSpacing/>
              <w:rPr>
                <w:rFonts w:cstheme="minorHAnsi"/>
                <w:sz w:val="24"/>
                <w:szCs w:val="24"/>
              </w:rPr>
            </w:pPr>
            <w:r w:rsidRPr="00D911B0">
              <w:rPr>
                <w:rFonts w:cstheme="minorHAnsi"/>
                <w:sz w:val="24"/>
                <w:szCs w:val="24"/>
              </w:rPr>
              <w:t>1</w:t>
            </w:r>
          </w:p>
          <w:p w14:paraId="663E8DF9"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1</w:t>
            </w:r>
          </w:p>
          <w:p w14:paraId="1C8D2B11" w14:textId="77777777" w:rsidR="00F1042D" w:rsidRPr="00D911B0" w:rsidRDefault="00F1042D" w:rsidP="00D911B0">
            <w:pPr>
              <w:pStyle w:val="NoSpacing"/>
              <w:contextualSpacing/>
              <w:rPr>
                <w:rFonts w:cstheme="minorHAnsi"/>
                <w:sz w:val="24"/>
                <w:szCs w:val="24"/>
              </w:rPr>
            </w:pPr>
          </w:p>
          <w:p w14:paraId="6EB9ED69"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1</w:t>
            </w:r>
          </w:p>
          <w:p w14:paraId="02897C8F" w14:textId="77777777" w:rsidR="00F1042D" w:rsidRPr="00D911B0" w:rsidRDefault="00F1042D" w:rsidP="00D911B0">
            <w:pPr>
              <w:pStyle w:val="NoSpacing"/>
              <w:contextualSpacing/>
              <w:rPr>
                <w:rFonts w:cstheme="minorHAnsi"/>
                <w:sz w:val="24"/>
                <w:szCs w:val="24"/>
              </w:rPr>
            </w:pPr>
          </w:p>
        </w:tc>
        <w:tc>
          <w:tcPr>
            <w:tcW w:w="1991" w:type="dxa"/>
          </w:tcPr>
          <w:p w14:paraId="08D38CB1"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 xml:space="preserve">Project Manager </w:t>
            </w:r>
          </w:p>
          <w:p w14:paraId="233B765A"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Procurement Specialist</w:t>
            </w:r>
          </w:p>
          <w:p w14:paraId="417D50F5"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 xml:space="preserve">Finance Manager </w:t>
            </w:r>
          </w:p>
          <w:p w14:paraId="3F3BCC2C" w14:textId="77777777" w:rsidR="00F1042D" w:rsidRPr="00D911B0" w:rsidRDefault="00F1042D" w:rsidP="00D911B0">
            <w:pPr>
              <w:pStyle w:val="NoSpacing"/>
              <w:contextualSpacing/>
              <w:rPr>
                <w:rFonts w:cstheme="minorHAnsi"/>
                <w:sz w:val="24"/>
                <w:szCs w:val="24"/>
              </w:rPr>
            </w:pPr>
          </w:p>
        </w:tc>
        <w:tc>
          <w:tcPr>
            <w:tcW w:w="1717" w:type="dxa"/>
          </w:tcPr>
          <w:p w14:paraId="74147744"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Throughout project cycle</w:t>
            </w:r>
          </w:p>
        </w:tc>
        <w:tc>
          <w:tcPr>
            <w:tcW w:w="1758" w:type="dxa"/>
          </w:tcPr>
          <w:p w14:paraId="6D4F2D86" w14:textId="2D5977C1" w:rsidR="00F1042D" w:rsidRPr="00D911B0" w:rsidRDefault="00F1042D" w:rsidP="00D911B0">
            <w:pPr>
              <w:pStyle w:val="NoSpacing"/>
              <w:contextualSpacing/>
              <w:rPr>
                <w:rFonts w:cstheme="minorHAnsi"/>
                <w:sz w:val="24"/>
                <w:szCs w:val="24"/>
              </w:rPr>
            </w:pPr>
            <w:r w:rsidRPr="00D911B0">
              <w:rPr>
                <w:rFonts w:cstheme="minorHAnsi"/>
                <w:sz w:val="24"/>
                <w:szCs w:val="24"/>
              </w:rPr>
              <w:t>Direct worker</w:t>
            </w:r>
            <w:r w:rsidR="00EE56C3">
              <w:rPr>
                <w:rFonts w:cstheme="minorHAnsi"/>
                <w:sz w:val="24"/>
                <w:szCs w:val="24"/>
              </w:rPr>
              <w:t>s</w:t>
            </w:r>
          </w:p>
          <w:p w14:paraId="14740597" w14:textId="77777777" w:rsidR="00F1042D" w:rsidRPr="00D911B0" w:rsidRDefault="00F1042D" w:rsidP="00D911B0">
            <w:pPr>
              <w:pStyle w:val="NoSpacing"/>
              <w:contextualSpacing/>
              <w:rPr>
                <w:rFonts w:cstheme="minorHAnsi"/>
                <w:sz w:val="24"/>
                <w:szCs w:val="24"/>
              </w:rPr>
            </w:pPr>
          </w:p>
          <w:p w14:paraId="42072362" w14:textId="77777777" w:rsidR="00F1042D" w:rsidRPr="00D911B0" w:rsidRDefault="00F1042D" w:rsidP="00D911B0">
            <w:pPr>
              <w:pStyle w:val="NoSpacing"/>
              <w:contextualSpacing/>
              <w:rPr>
                <w:rFonts w:cstheme="minorHAnsi"/>
                <w:sz w:val="24"/>
                <w:szCs w:val="24"/>
              </w:rPr>
            </w:pPr>
          </w:p>
          <w:p w14:paraId="08F91C81" w14:textId="3259F507" w:rsidR="00EE56C3" w:rsidRPr="00EE56C3" w:rsidRDefault="00EE56C3" w:rsidP="00EE56C3"/>
        </w:tc>
      </w:tr>
      <w:tr w:rsidR="00F1042D" w:rsidRPr="00D911B0" w14:paraId="397395B3" w14:textId="77777777" w:rsidTr="007C37A1">
        <w:trPr>
          <w:trHeight w:val="2096"/>
        </w:trPr>
        <w:tc>
          <w:tcPr>
            <w:tcW w:w="2089" w:type="dxa"/>
          </w:tcPr>
          <w:p w14:paraId="0DE83989" w14:textId="5CA58487" w:rsidR="00F1042D" w:rsidRPr="00D911B0" w:rsidRDefault="00F1042D" w:rsidP="00D911B0">
            <w:pPr>
              <w:pStyle w:val="NoSpacing"/>
              <w:contextualSpacing/>
              <w:rPr>
                <w:rFonts w:cstheme="minorHAnsi"/>
                <w:sz w:val="24"/>
                <w:szCs w:val="24"/>
              </w:rPr>
            </w:pPr>
            <w:r w:rsidRPr="00D911B0">
              <w:rPr>
                <w:rFonts w:cstheme="minorHAnsi"/>
                <w:sz w:val="24"/>
                <w:szCs w:val="24"/>
              </w:rPr>
              <w:t>Component I CNP-II:</w:t>
            </w:r>
            <w:r w:rsidR="007C61FD">
              <w:rPr>
                <w:rFonts w:cstheme="minorHAnsi"/>
                <w:sz w:val="24"/>
                <w:szCs w:val="24"/>
              </w:rPr>
              <w:t xml:space="preserve"> </w:t>
            </w:r>
            <w:r w:rsidRPr="00D911B0">
              <w:rPr>
                <w:rFonts w:cstheme="minorHAnsi"/>
                <w:sz w:val="24"/>
                <w:szCs w:val="24"/>
              </w:rPr>
              <w:t>Commune/Sangkat (C/S) Service Delivery Grants (C/S-SDGs) for Women and Children</w:t>
            </w:r>
          </w:p>
        </w:tc>
        <w:tc>
          <w:tcPr>
            <w:tcW w:w="1445" w:type="dxa"/>
          </w:tcPr>
          <w:p w14:paraId="0CDA42D3" w14:textId="5C442A86" w:rsidR="00F1042D" w:rsidRDefault="00F1042D" w:rsidP="00D911B0">
            <w:pPr>
              <w:pStyle w:val="NoSpacing"/>
              <w:contextualSpacing/>
              <w:rPr>
                <w:rFonts w:cstheme="minorHAnsi"/>
                <w:sz w:val="24"/>
                <w:szCs w:val="24"/>
              </w:rPr>
            </w:pPr>
            <w:r w:rsidRPr="00D911B0">
              <w:rPr>
                <w:rFonts w:cstheme="minorHAnsi"/>
                <w:sz w:val="24"/>
                <w:szCs w:val="24"/>
              </w:rPr>
              <w:t xml:space="preserve">6 </w:t>
            </w:r>
          </w:p>
          <w:p w14:paraId="3E203264" w14:textId="77777777" w:rsidR="00EE56C3" w:rsidRPr="00D911B0" w:rsidRDefault="00EE56C3" w:rsidP="00D911B0">
            <w:pPr>
              <w:pStyle w:val="NoSpacing"/>
              <w:contextualSpacing/>
              <w:rPr>
                <w:rFonts w:cstheme="minorHAnsi"/>
                <w:sz w:val="24"/>
                <w:szCs w:val="24"/>
              </w:rPr>
            </w:pPr>
          </w:p>
          <w:p w14:paraId="2C423F8B"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6</w:t>
            </w:r>
          </w:p>
          <w:p w14:paraId="048C7564" w14:textId="77777777" w:rsidR="00F1042D" w:rsidRPr="00D911B0" w:rsidRDefault="00F1042D" w:rsidP="00D911B0">
            <w:pPr>
              <w:pStyle w:val="NoSpacing"/>
              <w:contextualSpacing/>
              <w:rPr>
                <w:rFonts w:cstheme="minorHAnsi"/>
                <w:sz w:val="24"/>
                <w:szCs w:val="24"/>
              </w:rPr>
            </w:pPr>
          </w:p>
          <w:p w14:paraId="1B803228" w14:textId="77777777" w:rsidR="00F1042D" w:rsidRPr="00D911B0" w:rsidRDefault="00F1042D" w:rsidP="00D911B0">
            <w:pPr>
              <w:pStyle w:val="NoSpacing"/>
              <w:contextualSpacing/>
              <w:rPr>
                <w:rFonts w:cstheme="minorHAnsi"/>
                <w:sz w:val="24"/>
                <w:szCs w:val="24"/>
              </w:rPr>
            </w:pPr>
          </w:p>
          <w:p w14:paraId="2010DE2F" w14:textId="77777777" w:rsidR="00F1042D" w:rsidRPr="00D911B0" w:rsidRDefault="00F1042D" w:rsidP="00D911B0">
            <w:pPr>
              <w:pStyle w:val="NoSpacing"/>
              <w:contextualSpacing/>
              <w:rPr>
                <w:rFonts w:cstheme="minorHAnsi"/>
                <w:sz w:val="24"/>
                <w:szCs w:val="24"/>
              </w:rPr>
            </w:pPr>
          </w:p>
        </w:tc>
        <w:tc>
          <w:tcPr>
            <w:tcW w:w="1991" w:type="dxa"/>
          </w:tcPr>
          <w:p w14:paraId="422866A6"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 xml:space="preserve">Project Coordinators </w:t>
            </w:r>
          </w:p>
          <w:p w14:paraId="08152009"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Trainers</w:t>
            </w:r>
          </w:p>
          <w:p w14:paraId="2D7AAF25" w14:textId="77777777" w:rsidR="00F1042D" w:rsidRPr="00D911B0" w:rsidRDefault="00F1042D" w:rsidP="00D911B0">
            <w:pPr>
              <w:pStyle w:val="NoSpacing"/>
              <w:contextualSpacing/>
              <w:rPr>
                <w:rFonts w:cstheme="minorHAnsi"/>
                <w:sz w:val="24"/>
                <w:szCs w:val="24"/>
              </w:rPr>
            </w:pPr>
          </w:p>
          <w:p w14:paraId="569DE8EB" w14:textId="77777777" w:rsidR="00F1042D" w:rsidRPr="00D911B0" w:rsidRDefault="00F1042D" w:rsidP="00D911B0">
            <w:pPr>
              <w:pStyle w:val="NoSpacing"/>
              <w:contextualSpacing/>
              <w:rPr>
                <w:rFonts w:cstheme="minorHAnsi"/>
                <w:sz w:val="24"/>
                <w:szCs w:val="24"/>
              </w:rPr>
            </w:pPr>
          </w:p>
        </w:tc>
        <w:tc>
          <w:tcPr>
            <w:tcW w:w="1717" w:type="dxa"/>
          </w:tcPr>
          <w:p w14:paraId="50771B71" w14:textId="44CA1C1A" w:rsidR="00F1042D" w:rsidRPr="00D911B0" w:rsidRDefault="00F1042D" w:rsidP="00D911B0">
            <w:pPr>
              <w:pStyle w:val="NoSpacing"/>
              <w:contextualSpacing/>
              <w:rPr>
                <w:rFonts w:cstheme="minorHAnsi"/>
                <w:sz w:val="24"/>
                <w:szCs w:val="24"/>
              </w:rPr>
            </w:pPr>
            <w:r w:rsidRPr="00D911B0">
              <w:rPr>
                <w:rFonts w:cstheme="minorHAnsi"/>
                <w:sz w:val="24"/>
                <w:szCs w:val="24"/>
              </w:rPr>
              <w:t>Throughout project cycle</w:t>
            </w:r>
          </w:p>
        </w:tc>
        <w:tc>
          <w:tcPr>
            <w:tcW w:w="1758" w:type="dxa"/>
          </w:tcPr>
          <w:p w14:paraId="046499D8"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Direct workers</w:t>
            </w:r>
          </w:p>
          <w:p w14:paraId="226E9424" w14:textId="77777777" w:rsidR="00F1042D" w:rsidRPr="00D911B0" w:rsidRDefault="00F1042D" w:rsidP="00D911B0">
            <w:pPr>
              <w:pStyle w:val="NoSpacing"/>
              <w:contextualSpacing/>
              <w:rPr>
                <w:rFonts w:cstheme="minorHAnsi"/>
                <w:sz w:val="24"/>
                <w:szCs w:val="24"/>
              </w:rPr>
            </w:pPr>
          </w:p>
          <w:p w14:paraId="0735E40D" w14:textId="77777777" w:rsidR="00F1042D" w:rsidRPr="00D911B0" w:rsidRDefault="00F1042D" w:rsidP="00D911B0">
            <w:pPr>
              <w:pStyle w:val="NoSpacing"/>
              <w:contextualSpacing/>
              <w:rPr>
                <w:rFonts w:cstheme="minorHAnsi"/>
                <w:sz w:val="24"/>
                <w:szCs w:val="24"/>
              </w:rPr>
            </w:pPr>
          </w:p>
          <w:p w14:paraId="2A66EB6F" w14:textId="77777777" w:rsidR="00F1042D" w:rsidRPr="00D911B0" w:rsidRDefault="00F1042D" w:rsidP="00D911B0">
            <w:pPr>
              <w:pStyle w:val="NoSpacing"/>
              <w:contextualSpacing/>
              <w:rPr>
                <w:rFonts w:cstheme="minorHAnsi"/>
                <w:sz w:val="24"/>
                <w:szCs w:val="24"/>
              </w:rPr>
            </w:pPr>
          </w:p>
          <w:p w14:paraId="4962CEA6" w14:textId="77777777" w:rsidR="00F1042D" w:rsidRPr="00D911B0" w:rsidRDefault="00F1042D" w:rsidP="00D911B0">
            <w:pPr>
              <w:pStyle w:val="NoSpacing"/>
              <w:contextualSpacing/>
              <w:rPr>
                <w:rFonts w:cstheme="minorHAnsi"/>
                <w:sz w:val="24"/>
                <w:szCs w:val="24"/>
              </w:rPr>
            </w:pPr>
          </w:p>
          <w:p w14:paraId="6E9EA186" w14:textId="77777777" w:rsidR="00F1042D" w:rsidRPr="00D911B0" w:rsidRDefault="00F1042D" w:rsidP="00D911B0">
            <w:pPr>
              <w:pStyle w:val="NoSpacing"/>
              <w:contextualSpacing/>
              <w:rPr>
                <w:rFonts w:cstheme="minorHAnsi"/>
                <w:sz w:val="24"/>
                <w:szCs w:val="24"/>
              </w:rPr>
            </w:pPr>
          </w:p>
          <w:p w14:paraId="2936E172" w14:textId="5E5020FE" w:rsidR="00F1042D" w:rsidRPr="00D911B0" w:rsidRDefault="00F1042D" w:rsidP="00D911B0">
            <w:pPr>
              <w:pStyle w:val="NoSpacing"/>
              <w:contextualSpacing/>
              <w:rPr>
                <w:rFonts w:cstheme="minorHAnsi"/>
                <w:sz w:val="24"/>
                <w:szCs w:val="24"/>
              </w:rPr>
            </w:pPr>
          </w:p>
        </w:tc>
      </w:tr>
      <w:tr w:rsidR="00F1042D" w:rsidRPr="00D911B0" w14:paraId="7460E9A4" w14:textId="77777777" w:rsidTr="007C37A1">
        <w:tc>
          <w:tcPr>
            <w:tcW w:w="2089" w:type="dxa"/>
          </w:tcPr>
          <w:p w14:paraId="2242D237"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Component 2 CNP-II: Project Management, Monitoring, and Evaluation for the NCDDS</w:t>
            </w:r>
          </w:p>
        </w:tc>
        <w:tc>
          <w:tcPr>
            <w:tcW w:w="1445" w:type="dxa"/>
          </w:tcPr>
          <w:p w14:paraId="74E65E49" w14:textId="50246E91" w:rsidR="00F1042D" w:rsidRPr="00D911B0" w:rsidRDefault="00F1042D" w:rsidP="00D911B0">
            <w:pPr>
              <w:pStyle w:val="NoSpacing"/>
              <w:contextualSpacing/>
              <w:rPr>
                <w:rFonts w:cstheme="minorHAnsi"/>
                <w:sz w:val="24"/>
                <w:szCs w:val="24"/>
              </w:rPr>
            </w:pPr>
            <w:r w:rsidRPr="00D911B0">
              <w:rPr>
                <w:rFonts w:cstheme="minorHAnsi"/>
                <w:sz w:val="24"/>
                <w:szCs w:val="24"/>
              </w:rPr>
              <w:t>1</w:t>
            </w:r>
          </w:p>
          <w:p w14:paraId="7C8F8B85" w14:textId="7BAE0BE4" w:rsidR="00F1042D" w:rsidRPr="00D911B0" w:rsidRDefault="00F1042D" w:rsidP="00D911B0">
            <w:pPr>
              <w:pStyle w:val="NoSpacing"/>
              <w:contextualSpacing/>
              <w:rPr>
                <w:rFonts w:cstheme="minorHAnsi"/>
                <w:sz w:val="24"/>
                <w:szCs w:val="24"/>
              </w:rPr>
            </w:pPr>
            <w:r w:rsidRPr="00D911B0">
              <w:rPr>
                <w:rFonts w:cstheme="minorHAnsi"/>
                <w:sz w:val="24"/>
                <w:szCs w:val="24"/>
              </w:rPr>
              <w:t>1</w:t>
            </w:r>
          </w:p>
          <w:p w14:paraId="29E860DC"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1</w:t>
            </w:r>
          </w:p>
          <w:p w14:paraId="52D88EFE" w14:textId="77777777" w:rsidR="00F1042D" w:rsidRPr="00D911B0" w:rsidRDefault="00F1042D" w:rsidP="00D911B0">
            <w:pPr>
              <w:pStyle w:val="NoSpacing"/>
              <w:contextualSpacing/>
              <w:rPr>
                <w:rFonts w:cstheme="minorHAnsi"/>
                <w:sz w:val="24"/>
                <w:szCs w:val="24"/>
              </w:rPr>
            </w:pPr>
          </w:p>
        </w:tc>
        <w:tc>
          <w:tcPr>
            <w:tcW w:w="1991" w:type="dxa"/>
          </w:tcPr>
          <w:p w14:paraId="6D1228B6"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 xml:space="preserve">Project Manager </w:t>
            </w:r>
          </w:p>
          <w:p w14:paraId="4EB47605"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Procurement Specialist</w:t>
            </w:r>
          </w:p>
          <w:p w14:paraId="2305E626"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 xml:space="preserve">Finance Manager </w:t>
            </w:r>
          </w:p>
          <w:p w14:paraId="345B038B" w14:textId="77777777" w:rsidR="00F1042D" w:rsidRPr="00D911B0" w:rsidRDefault="00F1042D" w:rsidP="00D911B0">
            <w:pPr>
              <w:pStyle w:val="NoSpacing"/>
              <w:contextualSpacing/>
              <w:rPr>
                <w:rFonts w:cstheme="minorHAnsi"/>
                <w:sz w:val="24"/>
                <w:szCs w:val="24"/>
              </w:rPr>
            </w:pPr>
          </w:p>
        </w:tc>
        <w:tc>
          <w:tcPr>
            <w:tcW w:w="1717" w:type="dxa"/>
          </w:tcPr>
          <w:p w14:paraId="22A3BDC5"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Throughout project cycle</w:t>
            </w:r>
          </w:p>
        </w:tc>
        <w:tc>
          <w:tcPr>
            <w:tcW w:w="1758" w:type="dxa"/>
          </w:tcPr>
          <w:p w14:paraId="587D3470" w14:textId="77777777" w:rsidR="00F1042D" w:rsidRPr="00D911B0" w:rsidRDefault="00F1042D" w:rsidP="00D911B0">
            <w:pPr>
              <w:pStyle w:val="NoSpacing"/>
              <w:contextualSpacing/>
              <w:rPr>
                <w:rFonts w:cstheme="minorHAnsi"/>
                <w:sz w:val="24"/>
                <w:szCs w:val="24"/>
              </w:rPr>
            </w:pPr>
            <w:r w:rsidRPr="00D911B0">
              <w:rPr>
                <w:rFonts w:cstheme="minorHAnsi"/>
                <w:sz w:val="24"/>
                <w:szCs w:val="24"/>
              </w:rPr>
              <w:t>Direct worker</w:t>
            </w:r>
          </w:p>
          <w:p w14:paraId="5651A1CD" w14:textId="77777777" w:rsidR="00F1042D" w:rsidRPr="00D911B0" w:rsidRDefault="00F1042D" w:rsidP="00D911B0">
            <w:pPr>
              <w:pStyle w:val="NoSpacing"/>
              <w:contextualSpacing/>
              <w:rPr>
                <w:rFonts w:cstheme="minorHAnsi"/>
                <w:sz w:val="24"/>
                <w:szCs w:val="24"/>
              </w:rPr>
            </w:pPr>
          </w:p>
          <w:p w14:paraId="14B90BA5" w14:textId="77777777" w:rsidR="00F1042D" w:rsidRPr="00D911B0" w:rsidRDefault="00F1042D" w:rsidP="00D911B0">
            <w:pPr>
              <w:pStyle w:val="NoSpacing"/>
              <w:contextualSpacing/>
              <w:rPr>
                <w:rFonts w:cstheme="minorHAnsi"/>
                <w:sz w:val="24"/>
                <w:szCs w:val="24"/>
              </w:rPr>
            </w:pPr>
          </w:p>
          <w:p w14:paraId="33EDBF7E" w14:textId="77777777" w:rsidR="00F1042D" w:rsidRPr="00D911B0" w:rsidRDefault="00F1042D" w:rsidP="00D911B0">
            <w:pPr>
              <w:pStyle w:val="NoSpacing"/>
              <w:contextualSpacing/>
              <w:rPr>
                <w:rFonts w:cstheme="minorHAnsi"/>
                <w:sz w:val="24"/>
                <w:szCs w:val="24"/>
              </w:rPr>
            </w:pPr>
          </w:p>
          <w:p w14:paraId="42D805BD" w14:textId="77777777" w:rsidR="00F1042D" w:rsidRPr="00D911B0" w:rsidRDefault="00F1042D" w:rsidP="00D911B0">
            <w:pPr>
              <w:pStyle w:val="NoSpacing"/>
              <w:contextualSpacing/>
              <w:rPr>
                <w:rFonts w:cstheme="minorHAnsi"/>
                <w:sz w:val="24"/>
                <w:szCs w:val="24"/>
                <w:highlight w:val="yellow"/>
              </w:rPr>
            </w:pPr>
          </w:p>
        </w:tc>
      </w:tr>
    </w:tbl>
    <w:p w14:paraId="44F02B71" w14:textId="77777777" w:rsidR="00F1042D" w:rsidRDefault="00F1042D" w:rsidP="00F1042D">
      <w:pPr>
        <w:autoSpaceDE w:val="0"/>
        <w:autoSpaceDN w:val="0"/>
        <w:adjustRightInd w:val="0"/>
        <w:spacing w:after="0" w:line="240" w:lineRule="auto"/>
        <w:rPr>
          <w:rFonts w:eastAsiaTheme="minorEastAsia"/>
          <w:b/>
          <w:bCs/>
        </w:rPr>
      </w:pPr>
    </w:p>
    <w:p w14:paraId="1C0EDE5C" w14:textId="5E7BDFA5" w:rsidR="002E6B1B" w:rsidRDefault="00F1042D" w:rsidP="007C37A1">
      <w:pPr>
        <w:autoSpaceDE w:val="0"/>
        <w:autoSpaceDN w:val="0"/>
        <w:adjustRightInd w:val="0"/>
        <w:spacing w:before="120" w:after="120" w:line="240" w:lineRule="auto"/>
        <w:jc w:val="both"/>
        <w:rPr>
          <w:rFonts w:ascii="Calibri" w:eastAsiaTheme="minorEastAsia" w:hAnsi="Calibri" w:cs="Calibri"/>
          <w:sz w:val="24"/>
          <w:szCs w:val="24"/>
        </w:rPr>
      </w:pPr>
      <w:r w:rsidRPr="00C12742">
        <w:rPr>
          <w:rFonts w:ascii="Calibri" w:eastAsiaTheme="minorEastAsia" w:hAnsi="Calibri" w:cs="Calibri"/>
          <w:b/>
          <w:bCs/>
          <w:sz w:val="24"/>
          <w:szCs w:val="24"/>
        </w:rPr>
        <w:t>While NCDDS and MoH will remain as implementing agencies for the CNP-I, the NCDDS will primarily manage CNP-II.</w:t>
      </w:r>
      <w:r w:rsidRPr="00C12742">
        <w:rPr>
          <w:rFonts w:ascii="Calibri" w:eastAsiaTheme="minorEastAsia" w:hAnsi="Calibri" w:cs="Calibri"/>
          <w:sz w:val="24"/>
          <w:szCs w:val="24"/>
        </w:rPr>
        <w:t xml:space="preserve"> Given the strong track record of NCDDS under CNP and the aim of new operation being to build upon and expand core CNP activities, the same implementation arrangements for NCDDS under CNP will be used for CNP-II. Currently under the parent project, NCDDS implements Component 2 through its technical </w:t>
      </w:r>
      <w:r w:rsidR="00F8211A">
        <w:rPr>
          <w:rFonts w:ascii="Calibri" w:eastAsiaTheme="minorEastAsia" w:hAnsi="Calibri" w:cs="Calibri"/>
          <w:sz w:val="24"/>
          <w:szCs w:val="24"/>
        </w:rPr>
        <w:t xml:space="preserve">divisions </w:t>
      </w:r>
      <w:r w:rsidRPr="00C12742">
        <w:rPr>
          <w:rFonts w:ascii="Calibri" w:eastAsiaTheme="minorEastAsia" w:hAnsi="Calibri" w:cs="Calibri"/>
          <w:sz w:val="24"/>
          <w:szCs w:val="24"/>
        </w:rPr>
        <w:t>and the provincial</w:t>
      </w:r>
      <w:r w:rsidR="00F8211A">
        <w:rPr>
          <w:rFonts w:ascii="Calibri" w:eastAsiaTheme="minorEastAsia" w:hAnsi="Calibri" w:cs="Calibri"/>
          <w:sz w:val="24"/>
          <w:szCs w:val="24"/>
        </w:rPr>
        <w:t xml:space="preserve"> administration</w:t>
      </w:r>
      <w:r w:rsidRPr="00C12742">
        <w:rPr>
          <w:rFonts w:ascii="Calibri" w:eastAsiaTheme="minorEastAsia" w:hAnsi="Calibri" w:cs="Calibri"/>
          <w:sz w:val="24"/>
          <w:szCs w:val="24"/>
        </w:rPr>
        <w:t xml:space="preserve">, District/Municipality </w:t>
      </w:r>
      <w:r w:rsidR="00F8211A">
        <w:rPr>
          <w:rFonts w:ascii="Calibri" w:eastAsiaTheme="minorEastAsia" w:hAnsi="Calibri" w:cs="Calibri"/>
          <w:sz w:val="24"/>
          <w:szCs w:val="24"/>
        </w:rPr>
        <w:t xml:space="preserve">Administration </w:t>
      </w:r>
      <w:r w:rsidRPr="00C12742">
        <w:rPr>
          <w:rFonts w:ascii="Calibri" w:eastAsiaTheme="minorEastAsia" w:hAnsi="Calibri" w:cs="Calibri"/>
          <w:sz w:val="24"/>
          <w:szCs w:val="24"/>
        </w:rPr>
        <w:t>(DM</w:t>
      </w:r>
      <w:r w:rsidR="00F8211A">
        <w:rPr>
          <w:rFonts w:ascii="Calibri" w:eastAsiaTheme="minorEastAsia" w:hAnsi="Calibri" w:cs="Calibri"/>
          <w:sz w:val="24"/>
          <w:szCs w:val="24"/>
        </w:rPr>
        <w:t>A</w:t>
      </w:r>
      <w:r w:rsidRPr="00C12742">
        <w:rPr>
          <w:rFonts w:ascii="Calibri" w:eastAsiaTheme="minorEastAsia" w:hAnsi="Calibri" w:cs="Calibri"/>
          <w:sz w:val="24"/>
          <w:szCs w:val="24"/>
        </w:rPr>
        <w:t xml:space="preserve">), and Commune/Sangkat (C/S) administrations. NCDDS has appointed a project director and a project manager to oversee Component 2 activities of CNP-I, and NCDDS’ procurement </w:t>
      </w:r>
      <w:r w:rsidR="00F8211A">
        <w:rPr>
          <w:rFonts w:ascii="Calibri" w:eastAsiaTheme="minorEastAsia" w:hAnsi="Calibri" w:cs="Calibri"/>
          <w:sz w:val="24"/>
          <w:szCs w:val="24"/>
        </w:rPr>
        <w:t xml:space="preserve">office </w:t>
      </w:r>
      <w:r w:rsidRPr="00C12742">
        <w:rPr>
          <w:rFonts w:ascii="Calibri" w:eastAsiaTheme="minorEastAsia" w:hAnsi="Calibri" w:cs="Calibri"/>
          <w:sz w:val="24"/>
          <w:szCs w:val="24"/>
        </w:rPr>
        <w:t xml:space="preserve">and fiduciary </w:t>
      </w:r>
      <w:r w:rsidR="00F8211A">
        <w:rPr>
          <w:rFonts w:ascii="Calibri" w:eastAsiaTheme="minorEastAsia" w:hAnsi="Calibri" w:cs="Calibri"/>
          <w:sz w:val="24"/>
          <w:szCs w:val="24"/>
        </w:rPr>
        <w:t>unit</w:t>
      </w:r>
      <w:r w:rsidR="00F8211A" w:rsidRPr="00C12742">
        <w:rPr>
          <w:rFonts w:ascii="Calibri" w:eastAsiaTheme="minorEastAsia" w:hAnsi="Calibri" w:cs="Calibri"/>
          <w:sz w:val="24"/>
          <w:szCs w:val="24"/>
        </w:rPr>
        <w:t xml:space="preserve"> </w:t>
      </w:r>
      <w:r w:rsidRPr="00C12742">
        <w:rPr>
          <w:rFonts w:ascii="Calibri" w:eastAsiaTheme="minorEastAsia" w:hAnsi="Calibri" w:cs="Calibri"/>
          <w:sz w:val="24"/>
          <w:szCs w:val="24"/>
        </w:rPr>
        <w:t xml:space="preserve">are being used for project implementation. The ongoing implementation of CNP-I is progressing well; and the project management, including financial management, procurement, and environmental and social safeguards have all been rated Moderately Satisfactory as per the </w:t>
      </w:r>
      <w:r w:rsidRPr="00C12742">
        <w:rPr>
          <w:rFonts w:ascii="Calibri" w:eastAsiaTheme="minorEastAsia" w:hAnsi="Calibri" w:cs="Calibri"/>
          <w:sz w:val="24"/>
          <w:szCs w:val="24"/>
        </w:rPr>
        <w:lastRenderedPageBreak/>
        <w:t>most recent Implementation Support Mission. Existing coordination mechanisms, which include coordination focal points for NCDDS will continue to function under CNP-II as they currently do in the parent project.</w:t>
      </w:r>
    </w:p>
    <w:p w14:paraId="72058813" w14:textId="77777777" w:rsidR="007C37A1" w:rsidRDefault="007C37A1" w:rsidP="007C37A1">
      <w:pPr>
        <w:autoSpaceDE w:val="0"/>
        <w:autoSpaceDN w:val="0"/>
        <w:adjustRightInd w:val="0"/>
        <w:spacing w:before="120" w:after="120" w:line="240" w:lineRule="auto"/>
        <w:jc w:val="both"/>
        <w:rPr>
          <w:rFonts w:ascii="Calibri" w:eastAsiaTheme="minorEastAsia" w:hAnsi="Calibri" w:cs="Calibri"/>
          <w:sz w:val="24"/>
          <w:szCs w:val="24"/>
        </w:rPr>
      </w:pPr>
    </w:p>
    <w:p w14:paraId="3F5CE9F5" w14:textId="77777777" w:rsidR="00BC26EA" w:rsidRDefault="14E1EFE6" w:rsidP="007C37A1">
      <w:pPr>
        <w:pStyle w:val="ListParagraph"/>
        <w:numPr>
          <w:ilvl w:val="0"/>
          <w:numId w:val="98"/>
        </w:numPr>
        <w:spacing w:before="120" w:after="120"/>
        <w:ind w:left="360"/>
        <w:jc w:val="both"/>
        <w:rPr>
          <w:rFonts w:eastAsiaTheme="minorEastAsia"/>
          <w:b/>
          <w:bCs/>
        </w:rPr>
      </w:pPr>
      <w:r w:rsidRPr="7B4010DD">
        <w:rPr>
          <w:rFonts w:eastAsiaTheme="minorEastAsia"/>
          <w:b/>
          <w:bCs/>
        </w:rPr>
        <w:t>BRIEF OVERVIEW OF LABOR LEGISLATION</w:t>
      </w:r>
      <w:r w:rsidR="368632D0" w:rsidRPr="7B4010DD">
        <w:rPr>
          <w:rFonts w:eastAsiaTheme="minorEastAsia"/>
          <w:b/>
          <w:bCs/>
        </w:rPr>
        <w:t>S</w:t>
      </w:r>
    </w:p>
    <w:p w14:paraId="7660505D" w14:textId="0B9AB63F" w:rsidR="002E6B1B" w:rsidRPr="00BC26EA" w:rsidRDefault="00BC26EA" w:rsidP="007C37A1">
      <w:pPr>
        <w:spacing w:before="120" w:after="120"/>
        <w:jc w:val="both"/>
        <w:rPr>
          <w:rFonts w:eastAsiaTheme="minorEastAsia"/>
          <w:b/>
          <w:bCs/>
          <w:sz w:val="24"/>
          <w:szCs w:val="24"/>
        </w:rPr>
      </w:pPr>
      <w:r>
        <w:rPr>
          <w:rFonts w:eastAsiaTheme="minorEastAsia"/>
          <w:b/>
          <w:bCs/>
          <w:sz w:val="24"/>
          <w:szCs w:val="24"/>
        </w:rPr>
        <w:t>Terms and Conditions</w:t>
      </w:r>
    </w:p>
    <w:p w14:paraId="0B201FC7" w14:textId="77777777" w:rsidR="00EB26DF" w:rsidRDefault="00F1042D" w:rsidP="007C37A1">
      <w:pPr>
        <w:pStyle w:val="ListParagraph"/>
        <w:spacing w:before="120" w:after="120"/>
        <w:ind w:left="0" w:firstLine="0"/>
        <w:jc w:val="both"/>
        <w:rPr>
          <w:color w:val="201F1E"/>
          <w:bdr w:val="none" w:sz="0" w:space="0" w:color="auto" w:frame="1"/>
          <w:lang w:val="en-AU"/>
        </w:rPr>
      </w:pPr>
      <w:r w:rsidRPr="002E6B1B">
        <w:rPr>
          <w:color w:val="201F1E"/>
          <w:bdr w:val="none" w:sz="0" w:space="0" w:color="auto" w:frame="1"/>
          <w:lang w:val="en-AU"/>
        </w:rPr>
        <w:t xml:space="preserve">The </w:t>
      </w:r>
      <w:r w:rsidR="002E6B1B" w:rsidRPr="002E6B1B">
        <w:rPr>
          <w:color w:val="201F1E"/>
          <w:bdr w:val="none" w:sz="0" w:space="0" w:color="auto" w:frame="1"/>
          <w:lang w:val="en-AU"/>
        </w:rPr>
        <w:t>Labour</w:t>
      </w:r>
      <w:r w:rsidRPr="002E6B1B">
        <w:rPr>
          <w:color w:val="201F1E"/>
          <w:bdr w:val="none" w:sz="0" w:space="0" w:color="auto" w:frame="1"/>
          <w:lang w:val="en-AU"/>
        </w:rPr>
        <w:t xml:space="preserve"> Law is the overarching legal instrument that regulates and protects workers in Cambodia. The law governs relations between employers and workers. The Law considers that the rules, obligations and rights are the same for casual or permanent workers. The law prohibits discrimination in any form, including by sex, religion, social origin, or ethnicity (art 12). Employers are required to make available a copy of the Law to workers at all business locations/ operations (art 15) and forced compulsory or the hiring of workers to pay off debts is prohibited (art 16). Article 106 reaffirms equal conditions and wage for all work regardless of origin, age and sex for the same types of work. The Law establishes the limit for working hours to 8 hours per day and 48 hours per week as well as rates for working overtime and on public holidays.</w:t>
      </w:r>
    </w:p>
    <w:p w14:paraId="1892E3C6" w14:textId="4BBACB82" w:rsidR="00EB26DF" w:rsidRDefault="00EB26DF" w:rsidP="007C37A1">
      <w:pPr>
        <w:pStyle w:val="ListParagraph"/>
        <w:spacing w:before="120" w:after="120"/>
        <w:ind w:left="0" w:firstLine="0"/>
        <w:jc w:val="both"/>
      </w:pPr>
      <w:r w:rsidRPr="001D0039">
        <w:t>Labor law of 1997</w:t>
      </w:r>
      <w:r>
        <w:t xml:space="preserve"> </w:t>
      </w:r>
      <w:r w:rsidRPr="00F66A33">
        <w:t xml:space="preserve">includes provisions on non-discrimination; prohibition of forced labor including debt bondage; regulation of working conditions; restrictions on employment of minors (under 18 years old); maternity leave; special provisions for employment of agricultural workers; health and safety; </w:t>
      </w:r>
      <w:r>
        <w:t xml:space="preserve">and </w:t>
      </w:r>
      <w:r w:rsidRPr="00F66A33">
        <w:t>trade union rights</w:t>
      </w:r>
      <w:r>
        <w:t>.</w:t>
      </w:r>
    </w:p>
    <w:p w14:paraId="581E1F4E" w14:textId="75CD911D" w:rsidR="00BC26EA" w:rsidRPr="00BC26EA" w:rsidRDefault="00BC26EA" w:rsidP="007C37A1">
      <w:pPr>
        <w:pStyle w:val="ListParagraph"/>
        <w:spacing w:before="120" w:after="120"/>
        <w:ind w:left="0" w:firstLine="0"/>
        <w:jc w:val="both"/>
        <w:rPr>
          <w:b/>
          <w:bCs/>
        </w:rPr>
      </w:pPr>
      <w:r w:rsidRPr="00BC26EA">
        <w:rPr>
          <w:b/>
          <w:bCs/>
        </w:rPr>
        <w:t>M</w:t>
      </w:r>
      <w:r>
        <w:rPr>
          <w:b/>
          <w:bCs/>
        </w:rPr>
        <w:t>inimum Age</w:t>
      </w:r>
    </w:p>
    <w:p w14:paraId="4C2223B7" w14:textId="77777777" w:rsidR="00EB26DF" w:rsidRDefault="00F1042D" w:rsidP="007C37A1">
      <w:pPr>
        <w:pStyle w:val="ListParagraph"/>
        <w:spacing w:before="120" w:after="120"/>
        <w:ind w:left="0" w:firstLine="0"/>
        <w:jc w:val="both"/>
        <w:rPr>
          <w:color w:val="201F1E"/>
          <w:bdr w:val="none" w:sz="0" w:space="0" w:color="auto" w:frame="1"/>
          <w:lang w:val="en-AU"/>
        </w:rPr>
      </w:pPr>
      <w:r w:rsidRPr="00EB26DF">
        <w:rPr>
          <w:color w:val="201F1E"/>
          <w:bdr w:val="none" w:sz="0" w:space="0" w:color="auto" w:frame="1"/>
          <w:lang w:val="en-AU"/>
        </w:rPr>
        <w:t>The allowable minimum age for wage employment is set at 15 years (art 177).  The Law recognises statutory maternity leave on half wages (art 183), and for the performance of light duties for a further two months. Employers are prohibited from laying off women during their maternity leave (art 182).</w:t>
      </w:r>
    </w:p>
    <w:p w14:paraId="34891CF1" w14:textId="77777777" w:rsidR="00BC26EA" w:rsidRDefault="00F1042D" w:rsidP="007C37A1">
      <w:pPr>
        <w:pStyle w:val="ListParagraph"/>
        <w:spacing w:before="120" w:after="120"/>
        <w:ind w:left="0" w:firstLine="0"/>
        <w:jc w:val="both"/>
      </w:pPr>
      <w:r w:rsidRPr="00F66A33">
        <w:t>Chapter XI of the labor law guarantees workers’ rights to form unions. The Labor Law includes provisions against discrimination for union membership and to regulate collective negotiation of pay and conditions</w:t>
      </w:r>
      <w:r>
        <w:t xml:space="preserve">. Additional information regarding the Code of Conduct that explicitly prohibits SEA/SH is in Annex </w:t>
      </w:r>
      <w:r w:rsidR="00C47C42">
        <w:t>8</w:t>
      </w:r>
      <w:r>
        <w:t xml:space="preserve"> of the ESMP.</w:t>
      </w:r>
    </w:p>
    <w:p w14:paraId="05F6B725" w14:textId="216813D3" w:rsidR="00BC26EA" w:rsidRDefault="00BC26EA" w:rsidP="007C37A1">
      <w:pPr>
        <w:pStyle w:val="ListParagraph"/>
        <w:spacing w:before="120" w:after="120"/>
        <w:ind w:left="0" w:firstLine="0"/>
        <w:jc w:val="both"/>
        <w:rPr>
          <w:rFonts w:asciiTheme="minorHAnsi" w:hAnsiTheme="minorHAnsi"/>
          <w:b/>
          <w:bCs/>
        </w:rPr>
      </w:pPr>
      <w:r>
        <w:rPr>
          <w:rFonts w:asciiTheme="minorHAnsi" w:hAnsiTheme="minorHAnsi"/>
          <w:b/>
          <w:bCs/>
        </w:rPr>
        <w:t>Occupational Health and Safety</w:t>
      </w:r>
    </w:p>
    <w:p w14:paraId="7839FA4C" w14:textId="77777777" w:rsidR="00BC26EA" w:rsidRPr="00BC26EA" w:rsidRDefault="00F1042D" w:rsidP="007C37A1">
      <w:pPr>
        <w:pStyle w:val="ListParagraph"/>
        <w:spacing w:before="120" w:after="120"/>
        <w:ind w:left="0" w:firstLine="0"/>
        <w:jc w:val="both"/>
        <w:rPr>
          <w:rFonts w:eastAsiaTheme="minorEastAsia"/>
          <w:spacing w:val="-1"/>
          <w:lang w:eastAsia="de-CH"/>
        </w:rPr>
      </w:pPr>
      <w:r w:rsidRPr="00BC26EA">
        <w:rPr>
          <w:rFonts w:eastAsiaTheme="minorEastAsia"/>
          <w:spacing w:val="-1"/>
          <w:lang w:eastAsia="de-CH"/>
        </w:rPr>
        <w:t>The Labor Law includes provisions on Occupational Health and Safety (OHS) mostly consistent with ESS2 of the World Bank’s Environmental and Social Framework (ESF). Additional measures must also be taken compliant with WHO guidelines on COVID-19.</w:t>
      </w:r>
    </w:p>
    <w:p w14:paraId="6EFD867A" w14:textId="4D3AAB78" w:rsidR="00F1042D" w:rsidRDefault="00F1042D" w:rsidP="007C37A1">
      <w:pPr>
        <w:pStyle w:val="ListParagraph"/>
        <w:spacing w:before="120" w:after="120"/>
        <w:ind w:left="0" w:firstLine="0"/>
        <w:jc w:val="both"/>
        <w:rPr>
          <w:color w:val="201F1E"/>
          <w:bdr w:val="none" w:sz="0" w:space="0" w:color="auto" w:frame="1"/>
          <w:lang w:val="en-AU"/>
        </w:rPr>
      </w:pPr>
      <w:r w:rsidRPr="00BC26EA">
        <w:rPr>
          <w:color w:val="201F1E"/>
          <w:bdr w:val="none" w:sz="0" w:space="0" w:color="auto" w:frame="1"/>
          <w:lang w:val="en-AU"/>
        </w:rPr>
        <w:t xml:space="preserve">Chapter eight of Cambodia’s Labor Law covers the health and safety of workers and requires maintaining standards of hygiene and sanitation in working environments and requirements for individual protective instrument and work clothes, lighting and noise levels (art.229). Machinery, mechanisms, transmission apparatus, tools, equipment and machines must be installed and maintained in the best possible safety conditions. All enterprises and establishments covered by this Law and employing at more than fifty workers must have a permanent infirmary on the premises/workshop/ or work sites (art.242). Workplaces/ sites with more than 200 workers must have areas for hospitalising injured or sick workers before transferring to a health facility and must be able to handle two per cent of the workers at the site. The Law requires that every manager of a workplace shall have someone take all </w:t>
      </w:r>
      <w:r w:rsidRPr="00BC26EA">
        <w:rPr>
          <w:color w:val="201F1E"/>
          <w:bdr w:val="none" w:sz="0" w:space="0" w:color="auto" w:frame="1"/>
          <w:lang w:val="en-AU"/>
        </w:rPr>
        <w:lastRenderedPageBreak/>
        <w:t>appropriate measures to prevent work related accidents (art. 248). The Law also mandates that a general insurance system obligatory for workers shall be set up and this system shall be managed under the insurance of the National Social Security Fund (art. 256).</w:t>
      </w:r>
    </w:p>
    <w:p w14:paraId="72D56274" w14:textId="77777777" w:rsidR="00BC26EA" w:rsidRPr="00BC26EA" w:rsidRDefault="368632D0" w:rsidP="007C37A1">
      <w:pPr>
        <w:pStyle w:val="ListParagraph"/>
        <w:numPr>
          <w:ilvl w:val="0"/>
          <w:numId w:val="98"/>
        </w:numPr>
        <w:spacing w:before="120" w:after="120"/>
        <w:ind w:left="360"/>
        <w:jc w:val="both"/>
        <w:rPr>
          <w:rFonts w:eastAsiaTheme="minorEastAsia"/>
          <w:b/>
          <w:bCs/>
        </w:rPr>
      </w:pPr>
      <w:r w:rsidRPr="7B4010DD">
        <w:rPr>
          <w:rFonts w:eastAsiaTheme="minorEastAsia"/>
          <w:b/>
          <w:bCs/>
        </w:rPr>
        <w:t xml:space="preserve">PROJECT REQUIREMENTS </w:t>
      </w:r>
    </w:p>
    <w:p w14:paraId="39781C4E" w14:textId="77777777" w:rsidR="00110810" w:rsidRPr="00110810" w:rsidRDefault="00F1042D" w:rsidP="007C37A1">
      <w:pPr>
        <w:spacing w:before="120" w:after="120" w:line="240" w:lineRule="auto"/>
        <w:jc w:val="both"/>
        <w:rPr>
          <w:sz w:val="24"/>
          <w:szCs w:val="24"/>
        </w:rPr>
      </w:pPr>
      <w:r w:rsidRPr="00110810">
        <w:rPr>
          <w:sz w:val="24"/>
          <w:szCs w:val="24"/>
        </w:rPr>
        <w:t xml:space="preserve">The requirements </w:t>
      </w:r>
      <w:r w:rsidR="00110810" w:rsidRPr="00110810">
        <w:rPr>
          <w:sz w:val="24"/>
          <w:szCs w:val="24"/>
        </w:rPr>
        <w:t xml:space="preserve">under applicable </w:t>
      </w:r>
      <w:r w:rsidRPr="00110810">
        <w:rPr>
          <w:sz w:val="24"/>
          <w:szCs w:val="24"/>
        </w:rPr>
        <w:t>ESS2</w:t>
      </w:r>
      <w:r w:rsidR="00110810" w:rsidRPr="00110810">
        <w:rPr>
          <w:sz w:val="24"/>
          <w:szCs w:val="24"/>
        </w:rPr>
        <w:t xml:space="preserve"> provisions</w:t>
      </w:r>
      <w:r w:rsidRPr="00110810">
        <w:rPr>
          <w:sz w:val="24"/>
          <w:szCs w:val="24"/>
        </w:rPr>
        <w:t xml:space="preserve"> cover the following areas: (a) working conditions and management of worker relationships; (b) protecting the workforce; (c) workers’ access to a grievance mechanism; and (d) Occupational Health and Safety (OHS).</w:t>
      </w:r>
    </w:p>
    <w:p w14:paraId="135DCBB8" w14:textId="77305C46" w:rsidR="00F1042D" w:rsidRPr="00110810" w:rsidRDefault="00F1042D" w:rsidP="007C37A1">
      <w:pPr>
        <w:spacing w:before="120" w:after="120" w:line="240" w:lineRule="auto"/>
        <w:jc w:val="both"/>
        <w:rPr>
          <w:rFonts w:eastAsiaTheme="minorEastAsia"/>
          <w:b/>
          <w:bCs/>
          <w:sz w:val="24"/>
          <w:szCs w:val="24"/>
        </w:rPr>
      </w:pPr>
      <w:r w:rsidRPr="00110810">
        <w:rPr>
          <w:b/>
          <w:bCs/>
          <w:sz w:val="24"/>
          <w:szCs w:val="24"/>
        </w:rPr>
        <w:t>Working conditions and management of worker relationships</w:t>
      </w:r>
      <w:r w:rsidRPr="00110810">
        <w:rPr>
          <w:sz w:val="24"/>
          <w:szCs w:val="24"/>
        </w:rPr>
        <w:t xml:space="preserve"> includes requirements that:</w:t>
      </w:r>
    </w:p>
    <w:p w14:paraId="105CFB35" w14:textId="23098F1D" w:rsidR="00F1042D" w:rsidRPr="00110810" w:rsidRDefault="00F1042D" w:rsidP="007C37A1">
      <w:pPr>
        <w:pStyle w:val="BodyText"/>
        <w:numPr>
          <w:ilvl w:val="1"/>
          <w:numId w:val="44"/>
        </w:numPr>
        <w:spacing w:before="120" w:after="120"/>
        <w:ind w:left="360"/>
        <w:jc w:val="both"/>
      </w:pPr>
      <w:r w:rsidRPr="00110810">
        <w:t xml:space="preserve">Project workers are provided with clear </w:t>
      </w:r>
      <w:r w:rsidRPr="00110810">
        <w:rPr>
          <w:b/>
          <w:bCs/>
        </w:rPr>
        <w:t>terms and conditions of employment</w:t>
      </w:r>
      <w:r w:rsidRPr="00110810">
        <w:t>, consistent with national legal requirements</w:t>
      </w:r>
      <w:r w:rsidR="00B23179">
        <w:t>.</w:t>
      </w:r>
    </w:p>
    <w:p w14:paraId="5A1DDDEB" w14:textId="40C40F32" w:rsidR="00F1042D" w:rsidRPr="00110810" w:rsidRDefault="00F1042D" w:rsidP="007C37A1">
      <w:pPr>
        <w:pStyle w:val="BodyText"/>
        <w:numPr>
          <w:ilvl w:val="1"/>
          <w:numId w:val="44"/>
        </w:numPr>
        <w:spacing w:before="120" w:after="120"/>
        <w:ind w:left="360"/>
        <w:jc w:val="both"/>
      </w:pPr>
      <w:r w:rsidRPr="00110810">
        <w:t xml:space="preserve">The principles of </w:t>
      </w:r>
      <w:r w:rsidRPr="00110810">
        <w:rPr>
          <w:b/>
          <w:bCs/>
        </w:rPr>
        <w:t>nondiscrimination and equal opportunity</w:t>
      </w:r>
      <w:r w:rsidRPr="00110810">
        <w:t xml:space="preserve"> are applied to project workers, and vulnerable project workers are protected</w:t>
      </w:r>
      <w:r w:rsidR="00B23179">
        <w:t>.</w:t>
      </w:r>
    </w:p>
    <w:p w14:paraId="517E1AD4" w14:textId="7B29741C" w:rsidR="00F1042D" w:rsidRPr="00110810" w:rsidRDefault="00F1042D" w:rsidP="007C37A1">
      <w:pPr>
        <w:pStyle w:val="BodyText"/>
        <w:numPr>
          <w:ilvl w:val="1"/>
          <w:numId w:val="44"/>
        </w:numPr>
        <w:spacing w:before="120" w:after="120"/>
        <w:ind w:left="360"/>
        <w:jc w:val="both"/>
      </w:pPr>
      <w:r w:rsidRPr="00110810">
        <w:t>The rights of workers to form workers organizations, consistent with national law, are respected.</w:t>
      </w:r>
    </w:p>
    <w:p w14:paraId="1530D18D" w14:textId="621D2394" w:rsidR="00F1042D" w:rsidRPr="00110810" w:rsidRDefault="00F1042D" w:rsidP="007C37A1">
      <w:pPr>
        <w:pStyle w:val="BodyText"/>
        <w:spacing w:before="120" w:after="120"/>
        <w:jc w:val="both"/>
      </w:pPr>
      <w:r w:rsidRPr="00110810">
        <w:rPr>
          <w:b/>
          <w:bCs/>
        </w:rPr>
        <w:t>Protecting the workforce requirements</w:t>
      </w:r>
      <w:r w:rsidRPr="00110810">
        <w:t xml:space="preserve"> include:</w:t>
      </w:r>
    </w:p>
    <w:p w14:paraId="0CE3D87B" w14:textId="3C87CBD4" w:rsidR="00F1042D" w:rsidRPr="00110810" w:rsidRDefault="00F1042D" w:rsidP="007C37A1">
      <w:pPr>
        <w:pStyle w:val="BodyText"/>
        <w:numPr>
          <w:ilvl w:val="0"/>
          <w:numId w:val="99"/>
        </w:numPr>
        <w:spacing w:before="120" w:after="120"/>
        <w:ind w:left="360"/>
        <w:jc w:val="both"/>
      </w:pPr>
      <w:r w:rsidRPr="00110810">
        <w:t>Provisions to prevent employment of children below the age of 14 or the national legal minimum, whichever is higher, and restrictions on employment of children under 18</w:t>
      </w:r>
      <w:r w:rsidR="00B23179">
        <w:t>.</w:t>
      </w:r>
    </w:p>
    <w:p w14:paraId="11D3882E" w14:textId="6CFEC52B" w:rsidR="00F1042D" w:rsidRPr="00110810" w:rsidRDefault="00F1042D" w:rsidP="007C37A1">
      <w:pPr>
        <w:pStyle w:val="BodyText"/>
        <w:numPr>
          <w:ilvl w:val="0"/>
          <w:numId w:val="99"/>
        </w:numPr>
        <w:spacing w:before="120" w:after="120"/>
        <w:ind w:left="360"/>
        <w:jc w:val="both"/>
      </w:pPr>
      <w:r w:rsidRPr="00110810">
        <w:t>Prevention of forced labor, including debt bondage and prohibition.</w:t>
      </w:r>
    </w:p>
    <w:p w14:paraId="00143703" w14:textId="39CF85BE" w:rsidR="00F1042D" w:rsidRPr="00110810" w:rsidRDefault="00F1042D" w:rsidP="007C37A1">
      <w:pPr>
        <w:pStyle w:val="BodyText"/>
        <w:spacing w:before="120" w:after="120"/>
        <w:ind w:left="360"/>
        <w:jc w:val="both"/>
      </w:pPr>
      <w:r w:rsidRPr="00110810">
        <w:t xml:space="preserve">Direct workers must have access to a </w:t>
      </w:r>
      <w:r w:rsidRPr="00110810">
        <w:rPr>
          <w:b/>
          <w:bCs/>
        </w:rPr>
        <w:t>grievance mechanism</w:t>
      </w:r>
      <w:r w:rsidRPr="00110810">
        <w:t xml:space="preserve">. </w:t>
      </w:r>
    </w:p>
    <w:p w14:paraId="6A18718D" w14:textId="399D0903" w:rsidR="00F1042D" w:rsidRPr="00110810" w:rsidRDefault="00F1042D" w:rsidP="007C37A1">
      <w:pPr>
        <w:pStyle w:val="BodyText"/>
        <w:spacing w:before="120" w:after="120"/>
        <w:jc w:val="both"/>
      </w:pPr>
      <w:r w:rsidRPr="00110810">
        <w:rPr>
          <w:b/>
          <w:bCs/>
        </w:rPr>
        <w:t>OHS requirements</w:t>
      </w:r>
      <w:r w:rsidRPr="00110810">
        <w:t xml:space="preserve"> must address:</w:t>
      </w:r>
    </w:p>
    <w:p w14:paraId="46C91E3E" w14:textId="6B0913BF" w:rsidR="00F1042D" w:rsidRPr="00110810" w:rsidRDefault="00F1042D" w:rsidP="007C37A1">
      <w:pPr>
        <w:pStyle w:val="BodyText"/>
        <w:numPr>
          <w:ilvl w:val="0"/>
          <w:numId w:val="100"/>
        </w:numPr>
        <w:spacing w:before="120" w:after="120"/>
        <w:ind w:left="360"/>
        <w:jc w:val="both"/>
      </w:pPr>
      <w:r w:rsidRPr="00110810">
        <w:t>Identification of potential hazards to project workers, particularly those that may be life threatening</w:t>
      </w:r>
      <w:r w:rsidR="00110810">
        <w:t>.</w:t>
      </w:r>
    </w:p>
    <w:p w14:paraId="2C99F935" w14:textId="0CE42FFE" w:rsidR="00F1042D" w:rsidRPr="00110810" w:rsidRDefault="00F1042D" w:rsidP="007C37A1">
      <w:pPr>
        <w:pStyle w:val="BodyText"/>
        <w:numPr>
          <w:ilvl w:val="0"/>
          <w:numId w:val="100"/>
        </w:numPr>
        <w:spacing w:before="120" w:after="120"/>
        <w:ind w:left="360"/>
        <w:jc w:val="both"/>
      </w:pPr>
      <w:r w:rsidRPr="00110810">
        <w:t>Provision of preventative and protective measures, including modification, substitution or elimination of hazardous conditions or substances</w:t>
      </w:r>
      <w:r w:rsidR="00110810">
        <w:t>.</w:t>
      </w:r>
    </w:p>
    <w:p w14:paraId="29FA2113" w14:textId="2EC6DA23" w:rsidR="00F1042D" w:rsidRPr="00110810" w:rsidRDefault="00F1042D" w:rsidP="007C37A1">
      <w:pPr>
        <w:pStyle w:val="BodyText"/>
        <w:numPr>
          <w:ilvl w:val="0"/>
          <w:numId w:val="100"/>
        </w:numPr>
        <w:spacing w:before="120" w:after="120"/>
        <w:ind w:left="360"/>
        <w:jc w:val="both"/>
      </w:pPr>
      <w:r w:rsidRPr="00110810">
        <w:t>Training of project workers and maintenance of training records</w:t>
      </w:r>
      <w:r w:rsidR="00110810">
        <w:t>.</w:t>
      </w:r>
    </w:p>
    <w:p w14:paraId="7BD39FEE" w14:textId="03DD644F" w:rsidR="00F1042D" w:rsidRPr="00110810" w:rsidRDefault="00F1042D" w:rsidP="007C37A1">
      <w:pPr>
        <w:pStyle w:val="BodyText"/>
        <w:numPr>
          <w:ilvl w:val="0"/>
          <w:numId w:val="100"/>
        </w:numPr>
        <w:spacing w:before="120" w:after="120"/>
        <w:ind w:left="360"/>
        <w:jc w:val="both"/>
      </w:pPr>
      <w:r w:rsidRPr="00110810">
        <w:t>Documentation and reporting of occupational accidents, diseases and incidents</w:t>
      </w:r>
      <w:r w:rsidR="00110810">
        <w:t>.</w:t>
      </w:r>
    </w:p>
    <w:p w14:paraId="00AB58FD" w14:textId="77777777" w:rsidR="00F1042D" w:rsidRPr="00110810" w:rsidRDefault="00F1042D" w:rsidP="007C37A1">
      <w:pPr>
        <w:pStyle w:val="BodyText"/>
        <w:numPr>
          <w:ilvl w:val="0"/>
          <w:numId w:val="100"/>
        </w:numPr>
        <w:spacing w:before="120" w:after="120"/>
        <w:ind w:left="360"/>
        <w:jc w:val="both"/>
      </w:pPr>
      <w:r w:rsidRPr="00110810">
        <w:t>Emergency prevention preparedness and response arrangements to emergency situations; and</w:t>
      </w:r>
    </w:p>
    <w:p w14:paraId="0C6262E4" w14:textId="0C652E99" w:rsidR="00110810" w:rsidRDefault="06B1B697" w:rsidP="007C37A1">
      <w:pPr>
        <w:pStyle w:val="BodyText"/>
        <w:numPr>
          <w:ilvl w:val="0"/>
          <w:numId w:val="100"/>
        </w:numPr>
        <w:spacing w:before="120" w:after="120"/>
        <w:ind w:left="360"/>
        <w:jc w:val="both"/>
      </w:pPr>
      <w:r>
        <w:t>Remedies for adverse impacts such as occupational injuries, deaths, disabilities and disease.</w:t>
      </w:r>
    </w:p>
    <w:p w14:paraId="20B95FFA" w14:textId="77777777" w:rsidR="007C37A1" w:rsidRDefault="007C37A1" w:rsidP="007C37A1">
      <w:pPr>
        <w:pStyle w:val="BodyText"/>
        <w:spacing w:before="120" w:after="120"/>
        <w:ind w:left="360"/>
        <w:jc w:val="both"/>
      </w:pPr>
    </w:p>
    <w:p w14:paraId="20E54961" w14:textId="77777777" w:rsidR="00110810" w:rsidRPr="00110810" w:rsidRDefault="7893580A" w:rsidP="007C37A1">
      <w:pPr>
        <w:pStyle w:val="ListParagraph"/>
        <w:numPr>
          <w:ilvl w:val="0"/>
          <w:numId w:val="98"/>
        </w:numPr>
        <w:spacing w:before="120" w:after="120"/>
        <w:ind w:left="270"/>
        <w:jc w:val="both"/>
        <w:rPr>
          <w:rFonts w:eastAsiaTheme="minorEastAsia"/>
          <w:b/>
          <w:bCs/>
        </w:rPr>
      </w:pPr>
      <w:r w:rsidRPr="7B4010DD">
        <w:rPr>
          <w:rFonts w:eastAsiaTheme="minorEastAsia"/>
          <w:b/>
          <w:bCs/>
        </w:rPr>
        <w:t>RESPONSIBLE STAFF</w:t>
      </w:r>
    </w:p>
    <w:p w14:paraId="7F44270E" w14:textId="51BED459" w:rsidR="00F1042D" w:rsidRPr="00110810" w:rsidRDefault="00F1042D" w:rsidP="00072DCB">
      <w:pPr>
        <w:spacing w:before="120" w:after="120"/>
        <w:jc w:val="both"/>
        <w:rPr>
          <w:rFonts w:eastAsiaTheme="minorEastAsia"/>
          <w:b/>
          <w:bCs/>
          <w:sz w:val="24"/>
          <w:szCs w:val="24"/>
        </w:rPr>
      </w:pPr>
      <w:r w:rsidRPr="00110810">
        <w:rPr>
          <w:sz w:val="24"/>
          <w:szCs w:val="24"/>
        </w:rPr>
        <w:t xml:space="preserve">The functions and responsibilities for the implementation and maintenance of the labor and work conditions will be as follows:  </w:t>
      </w:r>
    </w:p>
    <w:p w14:paraId="53609468" w14:textId="59828C49" w:rsidR="00110810" w:rsidRPr="00072DCB" w:rsidRDefault="06B1B697" w:rsidP="00072DCB">
      <w:pPr>
        <w:pStyle w:val="ListParagraph"/>
        <w:numPr>
          <w:ilvl w:val="0"/>
          <w:numId w:val="101"/>
        </w:numPr>
        <w:autoSpaceDE/>
        <w:autoSpaceDN/>
        <w:adjustRightInd/>
        <w:spacing w:before="120" w:after="120"/>
        <w:ind w:left="360"/>
        <w:jc w:val="both"/>
        <w:rPr>
          <w:color w:val="000000"/>
        </w:rPr>
      </w:pPr>
      <w:r w:rsidRPr="00072DCB">
        <w:rPr>
          <w:b/>
          <w:bCs/>
          <w:color w:val="000000" w:themeColor="text1"/>
        </w:rPr>
        <w:t>Engagement and Management of Direct Workers:</w:t>
      </w:r>
      <w:r w:rsidRPr="00072DCB">
        <w:rPr>
          <w:color w:val="000000" w:themeColor="text1"/>
        </w:rPr>
        <w:t xml:space="preserve">  NCDDS will be responsible for the engagement and management of direct workers and for their compliance with NCDDS</w:t>
      </w:r>
      <w:r w:rsidR="1767D99C" w:rsidRPr="00072DCB">
        <w:rPr>
          <w:color w:val="000000" w:themeColor="text1"/>
        </w:rPr>
        <w:t>’s</w:t>
      </w:r>
      <w:r w:rsidRPr="00072DCB">
        <w:rPr>
          <w:color w:val="000000" w:themeColor="text1"/>
        </w:rPr>
        <w:t xml:space="preserve"> </w:t>
      </w:r>
      <w:r w:rsidR="193244CB" w:rsidRPr="00634DDD">
        <w:rPr>
          <w:color w:val="000000" w:themeColor="text1"/>
        </w:rPr>
        <w:t xml:space="preserve">risk mitigation </w:t>
      </w:r>
      <w:r w:rsidRPr="00634DDD">
        <w:rPr>
          <w:color w:val="000000" w:themeColor="text1"/>
        </w:rPr>
        <w:t>policies</w:t>
      </w:r>
      <w:r w:rsidRPr="00072DCB">
        <w:rPr>
          <w:color w:val="000000" w:themeColor="text1"/>
        </w:rPr>
        <w:t xml:space="preserve"> and the contract conditions, including labor and work conditions. NCDDS will address all LMP aspects and vulnerabilities of project workers as part of its human resources management and service procurement.    </w:t>
      </w:r>
    </w:p>
    <w:p w14:paraId="7D13A06F" w14:textId="004CA16B" w:rsidR="00B31DE6" w:rsidRPr="00072DCB" w:rsidRDefault="06B1B697" w:rsidP="00072DCB">
      <w:pPr>
        <w:pStyle w:val="ListParagraph"/>
        <w:numPr>
          <w:ilvl w:val="0"/>
          <w:numId w:val="101"/>
        </w:numPr>
        <w:autoSpaceDE/>
        <w:autoSpaceDN/>
        <w:adjustRightInd/>
        <w:spacing w:before="120" w:after="120"/>
        <w:ind w:left="360"/>
        <w:jc w:val="both"/>
        <w:rPr>
          <w:color w:val="000000"/>
        </w:rPr>
      </w:pPr>
      <w:r w:rsidRPr="00072DCB">
        <w:rPr>
          <w:b/>
          <w:bCs/>
          <w:color w:val="000000" w:themeColor="text1"/>
        </w:rPr>
        <w:lastRenderedPageBreak/>
        <w:t>Labor and Working Conditions:</w:t>
      </w:r>
      <w:r w:rsidRPr="00072DCB">
        <w:rPr>
          <w:color w:val="000000" w:themeColor="text1"/>
        </w:rPr>
        <w:t xml:space="preserve"> It is the responsibility of the NCDDS to oversee and enforce policies and guidelines related to occupational health and safety (OHS).   </w:t>
      </w:r>
    </w:p>
    <w:p w14:paraId="6F8BD0E2" w14:textId="16D931A2" w:rsidR="00B31DE6" w:rsidRPr="00072DCB" w:rsidRDefault="06B1B697" w:rsidP="00072DCB">
      <w:pPr>
        <w:pStyle w:val="ListParagraph"/>
        <w:numPr>
          <w:ilvl w:val="0"/>
          <w:numId w:val="101"/>
        </w:numPr>
        <w:autoSpaceDE/>
        <w:autoSpaceDN/>
        <w:adjustRightInd/>
        <w:spacing w:before="120" w:after="120"/>
        <w:ind w:left="360"/>
        <w:jc w:val="both"/>
        <w:rPr>
          <w:color w:val="000000"/>
        </w:rPr>
      </w:pPr>
      <w:r w:rsidRPr="00072DCB">
        <w:rPr>
          <w:b/>
          <w:bCs/>
          <w:color w:val="000000" w:themeColor="text1"/>
        </w:rPr>
        <w:t>Training of Workers:</w:t>
      </w:r>
      <w:r w:rsidRPr="00072DCB">
        <w:rPr>
          <w:color w:val="000000" w:themeColor="text1"/>
        </w:rPr>
        <w:t xml:space="preserve">  NCDDS will ensure that their direct workers are trained on OHS measures and other aspects of this LMP as appropriate, and – if necessary – provide guidance and supervision to sub-grantees to ensure that they also take adequate measures.  </w:t>
      </w:r>
    </w:p>
    <w:p w14:paraId="2D3C5BF1" w14:textId="2551CA54" w:rsidR="00245D98" w:rsidRPr="00072DCB" w:rsidRDefault="06B1B697" w:rsidP="00072DCB">
      <w:pPr>
        <w:pStyle w:val="ListParagraph"/>
        <w:numPr>
          <w:ilvl w:val="0"/>
          <w:numId w:val="101"/>
        </w:numPr>
        <w:autoSpaceDE/>
        <w:autoSpaceDN/>
        <w:adjustRightInd/>
        <w:spacing w:before="120" w:after="120"/>
        <w:ind w:left="360"/>
        <w:jc w:val="both"/>
        <w:rPr>
          <w:color w:val="000000"/>
        </w:rPr>
      </w:pPr>
      <w:r w:rsidRPr="00072DCB">
        <w:rPr>
          <w:b/>
          <w:bCs/>
          <w:color w:val="000000" w:themeColor="text1"/>
        </w:rPr>
        <w:t>Addressing Worker Grievances:</w:t>
      </w:r>
      <w:r w:rsidRPr="00072DCB">
        <w:rPr>
          <w:color w:val="000000" w:themeColor="text1"/>
        </w:rPr>
        <w:t xml:space="preserve"> NCDDS will implement a Grievance Redress Mechanism (GRM) for workers which responds to the minimum requirements in this LMP and labor dispute under the Labor Law.  </w:t>
      </w:r>
      <w:r w:rsidRPr="00072DCB">
        <w:rPr>
          <w:rFonts w:eastAsia="Times New Roman"/>
        </w:rPr>
        <w:t xml:space="preserve">The GRM for workers is not an alternative or a substitute to accessing the legal system for receiving and handling grievances. Nevertheless, all workers at all times have the right to access judicial or administrative remedies that are available under Cambodian law or through existing arbitration procedures. </w:t>
      </w:r>
      <w:r w:rsidRPr="00072DCB">
        <w:t xml:space="preserve">While all workers always have the right to access the legal system, the purpose of establishing a GRM for workers is to provide an accessible and practical means to mediate and seek appropriate solutions </w:t>
      </w:r>
      <w:r w:rsidRPr="00072DCB">
        <w:rPr>
          <w:rFonts w:eastAsia="Times New Roman"/>
        </w:rPr>
        <w:t>to labor-related grievances, without escalating to higher stages wherever possible.</w:t>
      </w:r>
      <w:r w:rsidRPr="00072DCB">
        <w:t xml:space="preserve"> </w:t>
      </w:r>
    </w:p>
    <w:p w14:paraId="76B83682" w14:textId="77777777" w:rsidR="00245D98" w:rsidRPr="00110810" w:rsidRDefault="00245D98" w:rsidP="00072DCB">
      <w:pPr>
        <w:ind w:left="360"/>
        <w:rPr>
          <w:rFonts w:ascii="Calibri" w:hAnsi="Calibri" w:cs="Calibri"/>
          <w:sz w:val="24"/>
          <w:szCs w:val="24"/>
        </w:rPr>
      </w:pPr>
      <w:r w:rsidRPr="00110810">
        <w:rPr>
          <w:sz w:val="24"/>
          <w:szCs w:val="24"/>
        </w:rPr>
        <w:br w:type="page"/>
      </w:r>
    </w:p>
    <w:p w14:paraId="1EAD26FA" w14:textId="4C467C01" w:rsidR="0003354D" w:rsidRPr="00580F72" w:rsidRDefault="0003354D" w:rsidP="00072DCB">
      <w:pPr>
        <w:tabs>
          <w:tab w:val="left" w:pos="1170"/>
        </w:tabs>
        <w:kinsoku w:val="0"/>
        <w:overflowPunct w:val="0"/>
        <w:autoSpaceDE w:val="0"/>
        <w:autoSpaceDN w:val="0"/>
        <w:adjustRightInd w:val="0"/>
        <w:spacing w:before="120" w:after="120" w:line="240" w:lineRule="auto"/>
        <w:ind w:right="29"/>
        <w:jc w:val="both"/>
        <w:rPr>
          <w:rFonts w:cstheme="minorHAnsi"/>
          <w:b/>
          <w:bCs/>
          <w:spacing w:val="1"/>
          <w:sz w:val="24"/>
          <w:szCs w:val="24"/>
        </w:rPr>
      </w:pPr>
      <w:r w:rsidRPr="00B97F20">
        <w:rPr>
          <w:rFonts w:cstheme="minorHAnsi"/>
          <w:b/>
          <w:bCs/>
          <w:sz w:val="24"/>
          <w:szCs w:val="24"/>
        </w:rPr>
        <w:lastRenderedPageBreak/>
        <w:t>ANNEX</w:t>
      </w:r>
      <w:r w:rsidRPr="00B97F20">
        <w:rPr>
          <w:rFonts w:cstheme="minorHAnsi"/>
          <w:b/>
          <w:bCs/>
          <w:spacing w:val="1"/>
          <w:sz w:val="24"/>
          <w:szCs w:val="24"/>
        </w:rPr>
        <w:t xml:space="preserve"> </w:t>
      </w:r>
      <w:r w:rsidR="008649FB">
        <w:rPr>
          <w:rFonts w:cstheme="minorHAnsi"/>
          <w:b/>
          <w:bCs/>
          <w:sz w:val="24"/>
          <w:szCs w:val="24"/>
        </w:rPr>
        <w:t>5</w:t>
      </w:r>
      <w:r w:rsidRPr="00B97F20">
        <w:rPr>
          <w:rFonts w:cstheme="minorHAnsi"/>
          <w:b/>
          <w:bCs/>
          <w:spacing w:val="-1"/>
          <w:sz w:val="24"/>
          <w:szCs w:val="24"/>
        </w:rPr>
        <w:t xml:space="preserve"> </w:t>
      </w:r>
      <w:r w:rsidRPr="00B97F20">
        <w:rPr>
          <w:rFonts w:cstheme="minorHAnsi"/>
          <w:b/>
          <w:bCs/>
          <w:sz w:val="24"/>
          <w:szCs w:val="24"/>
        </w:rPr>
        <w:t>–</w:t>
      </w:r>
      <w:r w:rsidRPr="00B97F20">
        <w:rPr>
          <w:rFonts w:cstheme="minorHAnsi"/>
          <w:b/>
          <w:bCs/>
          <w:spacing w:val="1"/>
          <w:sz w:val="24"/>
          <w:szCs w:val="24"/>
        </w:rPr>
        <w:t xml:space="preserve"> </w:t>
      </w:r>
      <w:r>
        <w:rPr>
          <w:rFonts w:cstheme="minorHAnsi"/>
          <w:b/>
          <w:bCs/>
          <w:spacing w:val="1"/>
          <w:sz w:val="24"/>
          <w:szCs w:val="24"/>
        </w:rPr>
        <w:t>GRIEVANCE REDRESS MECHANISM</w:t>
      </w:r>
      <w:r w:rsidRPr="00B97F20">
        <w:rPr>
          <w:rFonts w:cstheme="minorHAnsi"/>
          <w:b/>
          <w:bCs/>
          <w:spacing w:val="1"/>
          <w:sz w:val="24"/>
          <w:szCs w:val="24"/>
        </w:rPr>
        <w:t xml:space="preserve">  </w:t>
      </w:r>
    </w:p>
    <w:p w14:paraId="19D11794" w14:textId="71F7041A" w:rsidR="0003354D" w:rsidRPr="002746B5" w:rsidRDefault="00245D98" w:rsidP="00072DCB">
      <w:pPr>
        <w:tabs>
          <w:tab w:val="left" w:pos="11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sz w:val="24"/>
          <w:szCs w:val="24"/>
        </w:rPr>
      </w:pPr>
      <w:r w:rsidRPr="002746B5">
        <w:rPr>
          <w:sz w:val="24"/>
          <w:szCs w:val="24"/>
          <w:lang w:val="en-GB"/>
        </w:rPr>
        <w:t xml:space="preserve">Project-related grievances will be handled at the VHSG, with support from the </w:t>
      </w:r>
      <w:r w:rsidRPr="002746B5">
        <w:rPr>
          <w:bCs/>
          <w:color w:val="000000" w:themeColor="text1"/>
          <w:sz w:val="24"/>
          <w:szCs w:val="24"/>
        </w:rPr>
        <w:t>Commune/Sangkat Committee for Women and Children; specifically,</w:t>
      </w:r>
      <w:r w:rsidRPr="002746B5">
        <w:rPr>
          <w:sz w:val="24"/>
          <w:szCs w:val="24"/>
          <w:lang w:val="en-GB"/>
        </w:rPr>
        <w:t xml:space="preserve"> </w:t>
      </w:r>
      <w:r w:rsidRPr="002746B5">
        <w:rPr>
          <w:bCs/>
          <w:color w:val="000000" w:themeColor="text1"/>
          <w:sz w:val="24"/>
          <w:szCs w:val="24"/>
        </w:rPr>
        <w:t>Women and Children Focal Person (WC</w:t>
      </w:r>
      <w:r w:rsidR="00E73569">
        <w:rPr>
          <w:bCs/>
          <w:color w:val="000000" w:themeColor="text1"/>
          <w:sz w:val="24"/>
          <w:szCs w:val="24"/>
        </w:rPr>
        <w:t>-</w:t>
      </w:r>
      <w:r w:rsidRPr="002746B5">
        <w:rPr>
          <w:bCs/>
          <w:color w:val="000000" w:themeColor="text1"/>
          <w:sz w:val="24"/>
          <w:szCs w:val="24"/>
        </w:rPr>
        <w:t xml:space="preserve"> FP).  </w:t>
      </w:r>
      <w:r w:rsidRPr="002746B5">
        <w:rPr>
          <w:sz w:val="24"/>
          <w:szCs w:val="24"/>
        </w:rPr>
        <w:t>For activities implemented under Component 1, community members may use the subnational government system to provide feedback or report grievances on activities led by C/S and DMA by reporting through the C/S, DMA and Provincial Administration as well as the NCDDS at the national level. WC</w:t>
      </w:r>
      <w:r w:rsidR="00E73569">
        <w:rPr>
          <w:sz w:val="24"/>
          <w:szCs w:val="24"/>
        </w:rPr>
        <w:t>-</w:t>
      </w:r>
      <w:r w:rsidRPr="002746B5">
        <w:rPr>
          <w:sz w:val="24"/>
          <w:szCs w:val="24"/>
        </w:rPr>
        <w:t xml:space="preserve"> FP is assigned to collect, consolidate and report on citizen feedback and redress of grievances. The citizen feedback and grievances will be recorded in a spreadsheet or database to ensure issues are resolved and responses tracked. </w:t>
      </w:r>
    </w:p>
    <w:p w14:paraId="2C9EFBCD" w14:textId="77777777" w:rsidR="00245D98" w:rsidRPr="002746B5" w:rsidRDefault="00245D98" w:rsidP="00072DCB">
      <w:pPr>
        <w:tabs>
          <w:tab w:val="left" w:pos="117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sz w:val="24"/>
          <w:szCs w:val="24"/>
        </w:rPr>
      </w:pPr>
      <w:r w:rsidRPr="002746B5">
        <w:rPr>
          <w:bCs/>
          <w:sz w:val="24"/>
          <w:szCs w:val="24"/>
        </w:rPr>
        <w:t>The following channels will be used</w:t>
      </w:r>
      <w:r w:rsidRPr="002746B5">
        <w:rPr>
          <w:sz w:val="24"/>
          <w:szCs w:val="24"/>
        </w:rPr>
        <w:t xml:space="preserve"> through which citizens/beneficiaries/Project Affected Persons (PAPs) can make complaints/suggestions/compliments regarding project-funded activities:</w:t>
      </w:r>
    </w:p>
    <w:p w14:paraId="6A2EB34C" w14:textId="77777777" w:rsidR="00245D98" w:rsidRPr="002746B5" w:rsidRDefault="00245D98" w:rsidP="00072DCB">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jc w:val="both"/>
        <w:rPr>
          <w:sz w:val="24"/>
          <w:szCs w:val="24"/>
        </w:rPr>
      </w:pPr>
      <w:r w:rsidRPr="002746B5">
        <w:rPr>
          <w:sz w:val="24"/>
          <w:szCs w:val="24"/>
        </w:rPr>
        <w:t>Directly by verbal feedback to Village Health Support Groups</w:t>
      </w:r>
    </w:p>
    <w:p w14:paraId="1CA163EC" w14:textId="77777777" w:rsidR="00245D98" w:rsidRPr="002746B5" w:rsidRDefault="00245D98" w:rsidP="00072DCB">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jc w:val="both"/>
        <w:rPr>
          <w:sz w:val="24"/>
          <w:szCs w:val="24"/>
        </w:rPr>
      </w:pPr>
      <w:r w:rsidRPr="002746B5">
        <w:rPr>
          <w:sz w:val="24"/>
          <w:szCs w:val="24"/>
        </w:rPr>
        <w:t xml:space="preserve">Social Media, such as Facebook and Telegram  </w:t>
      </w:r>
    </w:p>
    <w:p w14:paraId="1C4EEC3F" w14:textId="414624CD" w:rsidR="00245D98" w:rsidRPr="002746B5" w:rsidRDefault="00245D98" w:rsidP="00072DCB">
      <w:pPr>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360"/>
        <w:jc w:val="both"/>
        <w:rPr>
          <w:sz w:val="24"/>
          <w:szCs w:val="24"/>
          <w:lang w:val="en-GB"/>
        </w:rPr>
      </w:pPr>
      <w:r w:rsidRPr="002746B5">
        <w:rPr>
          <w:sz w:val="24"/>
          <w:szCs w:val="24"/>
        </w:rPr>
        <w:t>Submit to suggestion boxes near schools, C/S offices, and health centers</w:t>
      </w:r>
    </w:p>
    <w:p w14:paraId="1AC9FF16" w14:textId="77777777" w:rsidR="00245D98" w:rsidRPr="002746B5" w:rsidRDefault="00245D98" w:rsidP="00072D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sz w:val="24"/>
          <w:szCs w:val="24"/>
          <w:lang w:val="en-GB"/>
        </w:rPr>
      </w:pPr>
      <w:r w:rsidRPr="002746B5">
        <w:rPr>
          <w:sz w:val="24"/>
          <w:szCs w:val="24"/>
          <w:lang w:val="en-GB"/>
        </w:rPr>
        <w:t xml:space="preserve">The GRM includes the following steps: </w:t>
      </w:r>
    </w:p>
    <w:p w14:paraId="524BAC6F" w14:textId="77777777" w:rsidR="00245D98" w:rsidRPr="0003354D" w:rsidRDefault="00245D98" w:rsidP="00072DCB">
      <w:pPr>
        <w:pStyle w:val="ListParagraph"/>
        <w:keepNext/>
        <w:keepLines/>
        <w:autoSpaceDE/>
        <w:autoSpaceDN/>
        <w:adjustRightInd/>
        <w:spacing w:before="120" w:after="120"/>
        <w:ind w:left="0" w:firstLine="0"/>
        <w:jc w:val="both"/>
        <w:rPr>
          <w:b/>
          <w:bCs/>
          <w:spacing w:val="-2"/>
          <w:lang w:val="en-GB"/>
        </w:rPr>
      </w:pPr>
      <w:r w:rsidRPr="0003354D">
        <w:rPr>
          <w:b/>
          <w:bCs/>
          <w:spacing w:val="-2"/>
          <w:lang w:val="en-GB"/>
        </w:rPr>
        <w:t>Receiving complaints from the citizens feedback mechanism:</w:t>
      </w:r>
    </w:p>
    <w:p w14:paraId="3C22F611" w14:textId="77777777" w:rsidR="00245D98" w:rsidRPr="0003354D" w:rsidRDefault="00245D98" w:rsidP="00072DCB">
      <w:pPr>
        <w:pStyle w:val="ListParagraph"/>
        <w:keepNext/>
        <w:keepLines/>
        <w:numPr>
          <w:ilvl w:val="0"/>
          <w:numId w:val="54"/>
        </w:numPr>
        <w:autoSpaceDE/>
        <w:autoSpaceDN/>
        <w:adjustRightInd/>
        <w:spacing w:before="120" w:after="120"/>
        <w:ind w:left="360"/>
        <w:jc w:val="both"/>
        <w:rPr>
          <w:spacing w:val="-2"/>
          <w:lang w:val="en-GB"/>
        </w:rPr>
      </w:pPr>
      <w:r w:rsidRPr="0003354D">
        <w:rPr>
          <w:spacing w:val="-2"/>
          <w:lang w:val="en-GB"/>
        </w:rPr>
        <w:t>When one or more citizens are not satisfied and are willing to provide feedback on related performance of VHSG and or health center and/or C/S administrative services deliveries, they can provide their feedback to service providers: VHSG, village team, and/or direct service providers. The citizen can inform other stakeholders as needed.</w:t>
      </w:r>
    </w:p>
    <w:p w14:paraId="2446B88E" w14:textId="77777777" w:rsidR="00245D98" w:rsidRPr="0003354D" w:rsidRDefault="00245D98" w:rsidP="00072DCB">
      <w:pPr>
        <w:pStyle w:val="ListParagraph"/>
        <w:numPr>
          <w:ilvl w:val="0"/>
          <w:numId w:val="54"/>
        </w:numPr>
        <w:autoSpaceDE/>
        <w:autoSpaceDN/>
        <w:adjustRightInd/>
        <w:spacing w:before="120" w:after="120"/>
        <w:ind w:left="360"/>
        <w:jc w:val="both"/>
        <w:rPr>
          <w:spacing w:val="-2"/>
          <w:lang w:val="en-GB"/>
        </w:rPr>
      </w:pPr>
      <w:r w:rsidRPr="0003354D">
        <w:rPr>
          <w:spacing w:val="-2"/>
          <w:lang w:val="en-GB"/>
        </w:rPr>
        <w:t>The messages that citizens can deliver to the service providers can be via verbal messages, complaints or feedback forms, telephone calls, or other means such as social media.</w:t>
      </w:r>
    </w:p>
    <w:p w14:paraId="3AA62E71" w14:textId="3AD556D3" w:rsidR="0003354D" w:rsidRPr="0003354D" w:rsidRDefault="00245D98" w:rsidP="00072DCB">
      <w:pPr>
        <w:pStyle w:val="ListParagraph"/>
        <w:numPr>
          <w:ilvl w:val="0"/>
          <w:numId w:val="54"/>
        </w:numPr>
        <w:autoSpaceDE/>
        <w:autoSpaceDN/>
        <w:adjustRightInd/>
        <w:spacing w:before="120" w:after="120"/>
        <w:ind w:left="360"/>
        <w:jc w:val="both"/>
        <w:rPr>
          <w:spacing w:val="-2"/>
          <w:lang w:val="en-GB"/>
        </w:rPr>
      </w:pPr>
      <w:r w:rsidRPr="0003354D">
        <w:rPr>
          <w:spacing w:val="-2"/>
          <w:lang w:val="en-GB"/>
        </w:rPr>
        <w:t xml:space="preserve">All complaints that C/S receive must be reported and recorded. </w:t>
      </w:r>
    </w:p>
    <w:p w14:paraId="7B021EBD" w14:textId="77777777" w:rsidR="00245D98" w:rsidRPr="0003354D" w:rsidRDefault="00245D98" w:rsidP="00072DCB">
      <w:pPr>
        <w:pStyle w:val="ListParagraph"/>
        <w:autoSpaceDE/>
        <w:autoSpaceDN/>
        <w:adjustRightInd/>
        <w:spacing w:before="120" w:after="120"/>
        <w:ind w:left="0" w:firstLine="0"/>
        <w:jc w:val="both"/>
        <w:rPr>
          <w:b/>
          <w:bCs/>
          <w:spacing w:val="-2"/>
          <w:lang w:val="en-GB"/>
        </w:rPr>
      </w:pPr>
      <w:r w:rsidRPr="0003354D">
        <w:rPr>
          <w:b/>
          <w:bCs/>
          <w:spacing w:val="-2"/>
          <w:lang w:val="en-GB"/>
        </w:rPr>
        <w:t xml:space="preserve">Citizen feedback responsive mechanism  </w:t>
      </w:r>
    </w:p>
    <w:p w14:paraId="1B6240A8" w14:textId="77777777" w:rsidR="00245D98" w:rsidRPr="0003354D" w:rsidRDefault="00245D98" w:rsidP="00072DCB">
      <w:pPr>
        <w:pStyle w:val="ListParagraph"/>
        <w:numPr>
          <w:ilvl w:val="0"/>
          <w:numId w:val="55"/>
        </w:numPr>
        <w:autoSpaceDE/>
        <w:autoSpaceDN/>
        <w:adjustRightInd/>
        <w:spacing w:before="120" w:after="120"/>
        <w:ind w:left="360"/>
        <w:jc w:val="both"/>
        <w:rPr>
          <w:spacing w:val="-2"/>
          <w:lang w:val="en-GB"/>
        </w:rPr>
      </w:pPr>
      <w:r w:rsidRPr="0003354D">
        <w:rPr>
          <w:spacing w:val="-2"/>
          <w:lang w:val="en-GB"/>
        </w:rPr>
        <w:t>The C/S chief is the first actor to review and respond to all citizen feedback and complaints, especially feedback related to CPWC activity implementation. After receiving feedback or complaints from citizens, the C/S chief shall respond accordingly and in a timely manner (within 20 business days) through interventions or actions of C/S administration and/or HC. The C/S chief shall inform the VHSG to report to the community or respective individual accordingly.</w:t>
      </w:r>
    </w:p>
    <w:p w14:paraId="23573A96" w14:textId="77777777" w:rsidR="00245D98" w:rsidRPr="0003354D" w:rsidRDefault="00245D98" w:rsidP="00072DCB">
      <w:pPr>
        <w:pStyle w:val="ListParagraph"/>
        <w:numPr>
          <w:ilvl w:val="0"/>
          <w:numId w:val="55"/>
        </w:numPr>
        <w:autoSpaceDE/>
        <w:autoSpaceDN/>
        <w:adjustRightInd/>
        <w:spacing w:before="120" w:after="120"/>
        <w:ind w:left="360"/>
        <w:jc w:val="both"/>
        <w:rPr>
          <w:spacing w:val="-2"/>
          <w:lang w:val="en-GB"/>
        </w:rPr>
      </w:pPr>
      <w:r w:rsidRPr="0003354D">
        <w:rPr>
          <w:spacing w:val="-2"/>
          <w:lang w:val="en-GB"/>
        </w:rPr>
        <w:t>If the C/S chief cannot take action to respond to the complaints or feedbacks, the C/S chief shall submit those complaints or feedbacks to HCMC meeting for further actions. At the HCMC meeting, the committee can decide if any actions or resolutions are possible.</w:t>
      </w:r>
    </w:p>
    <w:p w14:paraId="646F3FE4" w14:textId="77777777" w:rsidR="00245D98" w:rsidRPr="0003354D" w:rsidRDefault="00245D98" w:rsidP="00072DCB">
      <w:pPr>
        <w:pStyle w:val="ListParagraph"/>
        <w:numPr>
          <w:ilvl w:val="0"/>
          <w:numId w:val="55"/>
        </w:numPr>
        <w:autoSpaceDE/>
        <w:autoSpaceDN/>
        <w:adjustRightInd/>
        <w:spacing w:before="120" w:after="120"/>
        <w:ind w:left="360"/>
        <w:jc w:val="both"/>
        <w:rPr>
          <w:spacing w:val="-2"/>
          <w:lang w:val="en-GB"/>
        </w:rPr>
      </w:pPr>
      <w:r w:rsidRPr="0003354D">
        <w:rPr>
          <w:spacing w:val="-2"/>
          <w:lang w:val="en-GB"/>
        </w:rPr>
        <w:t xml:space="preserve">If the HCMC cannot come to a solution, the C/S chief shall refer the case to the DMA governor for further action. After receiving the cases, the DMA governor shall take action immediately through their DMA action or OD. The DMA governor shall inform the results of resolutions to C/S chief, who can then inform the citizens. </w:t>
      </w:r>
    </w:p>
    <w:p w14:paraId="1AF2FEE6" w14:textId="77777777" w:rsidR="00245D98" w:rsidRPr="0003354D" w:rsidRDefault="00245D98" w:rsidP="002746B5">
      <w:pPr>
        <w:pStyle w:val="ListParagraph"/>
        <w:numPr>
          <w:ilvl w:val="0"/>
          <w:numId w:val="55"/>
        </w:numPr>
        <w:autoSpaceDE/>
        <w:autoSpaceDN/>
        <w:adjustRightInd/>
        <w:spacing w:before="120" w:after="120"/>
        <w:jc w:val="both"/>
        <w:rPr>
          <w:spacing w:val="-2"/>
          <w:lang w:val="en-GB"/>
        </w:rPr>
      </w:pPr>
      <w:r w:rsidRPr="0003354D">
        <w:rPr>
          <w:spacing w:val="-2"/>
          <w:lang w:val="en-GB"/>
        </w:rPr>
        <w:t xml:space="preserve">If the case cannot be solved at the DMA level, the DMA governor shall send the cases to the PA governor. The PA governor can take action through PA or PHD. PA governor shall inform to DMA governor the results of interventions. The PA </w:t>
      </w:r>
      <w:r w:rsidRPr="0003354D">
        <w:rPr>
          <w:spacing w:val="-2"/>
          <w:lang w:val="en-GB"/>
        </w:rPr>
        <w:lastRenderedPageBreak/>
        <w:t>governor shall inform the results and resolutions to DMA governor who can inform the citizens.</w:t>
      </w:r>
    </w:p>
    <w:p w14:paraId="772974B3" w14:textId="77777777" w:rsidR="00245D98" w:rsidRPr="0003354D" w:rsidRDefault="00245D98" w:rsidP="002746B5">
      <w:pPr>
        <w:pStyle w:val="ListParagraph"/>
        <w:numPr>
          <w:ilvl w:val="0"/>
          <w:numId w:val="55"/>
        </w:numPr>
        <w:autoSpaceDE/>
        <w:autoSpaceDN/>
        <w:adjustRightInd/>
        <w:spacing w:before="120" w:after="120"/>
        <w:jc w:val="both"/>
        <w:rPr>
          <w:spacing w:val="-2"/>
          <w:lang w:val="en-GB"/>
        </w:rPr>
      </w:pPr>
      <w:r w:rsidRPr="0003354D">
        <w:rPr>
          <w:spacing w:val="-2"/>
          <w:lang w:val="en-GB"/>
        </w:rPr>
        <w:t>If the case cannot be solved by provincial level, the PA governor shall send the cases to NCDDS or NCHP based on the nature of case.</w:t>
      </w:r>
    </w:p>
    <w:p w14:paraId="0C6EEB3F" w14:textId="77777777" w:rsidR="00245D98" w:rsidRPr="0003354D" w:rsidRDefault="00245D98" w:rsidP="002746B5">
      <w:pPr>
        <w:pStyle w:val="ListParagraph"/>
        <w:numPr>
          <w:ilvl w:val="0"/>
          <w:numId w:val="55"/>
        </w:numPr>
        <w:autoSpaceDE/>
        <w:autoSpaceDN/>
        <w:adjustRightInd/>
        <w:spacing w:before="120" w:after="120"/>
        <w:jc w:val="both"/>
        <w:rPr>
          <w:spacing w:val="-2"/>
          <w:lang w:val="en-GB"/>
        </w:rPr>
      </w:pPr>
      <w:r w:rsidRPr="0003354D">
        <w:rPr>
          <w:spacing w:val="-2"/>
          <w:lang w:val="en-GB"/>
        </w:rPr>
        <w:t xml:space="preserve">NCDDS and NCHP are the last mechanism to solve and respond to the citizen feedback or complaints related to CPWC activities implementation. The Chairman of NCDDS and/or Chairwoman of NCHP shall inform the results of resolutions to PA governor who can inform the citizens. </w:t>
      </w:r>
    </w:p>
    <w:p w14:paraId="164378E0" w14:textId="77777777" w:rsidR="00245D98" w:rsidRPr="0003354D" w:rsidRDefault="00245D98" w:rsidP="002746B5">
      <w:pPr>
        <w:pStyle w:val="ListParagraph"/>
        <w:numPr>
          <w:ilvl w:val="0"/>
          <w:numId w:val="55"/>
        </w:numPr>
        <w:autoSpaceDE/>
        <w:autoSpaceDN/>
        <w:adjustRightInd/>
        <w:spacing w:before="120" w:after="120"/>
        <w:jc w:val="both"/>
        <w:rPr>
          <w:spacing w:val="-2"/>
          <w:lang w:val="en-GB"/>
        </w:rPr>
      </w:pPr>
      <w:r w:rsidRPr="0003354D">
        <w:rPr>
          <w:spacing w:val="-2"/>
          <w:lang w:val="en-GB"/>
        </w:rPr>
        <w:t xml:space="preserve">All feedback and responses shall be recorded. </w:t>
      </w:r>
    </w:p>
    <w:p w14:paraId="56BB8843" w14:textId="77777777" w:rsidR="00245D98" w:rsidRDefault="00245D98" w:rsidP="00245D98">
      <w:pPr>
        <w:pStyle w:val="ListParagraph"/>
        <w:autoSpaceDE/>
        <w:autoSpaceDN/>
        <w:adjustRightInd/>
        <w:spacing w:after="60"/>
        <w:ind w:left="360" w:firstLine="0"/>
        <w:jc w:val="both"/>
        <w:rPr>
          <w:color w:val="000000"/>
        </w:rPr>
      </w:pPr>
    </w:p>
    <w:p w14:paraId="687F8B76" w14:textId="627A51F9" w:rsidR="00245D98" w:rsidRDefault="00245D98" w:rsidP="002746B5">
      <w:pPr>
        <w:pStyle w:val="ListParagraph"/>
        <w:autoSpaceDE/>
        <w:autoSpaceDN/>
        <w:adjustRightInd/>
        <w:spacing w:after="60"/>
        <w:ind w:left="360" w:firstLine="0"/>
        <w:jc w:val="center"/>
        <w:rPr>
          <w:color w:val="000000"/>
        </w:rPr>
      </w:pPr>
    </w:p>
    <w:p w14:paraId="1E96B729" w14:textId="405541E0" w:rsidR="00245D98" w:rsidRPr="002E70EA" w:rsidRDefault="00245D98" w:rsidP="005C19F7">
      <w:pPr>
        <w:pStyle w:val="ListParagraph"/>
        <w:autoSpaceDE/>
        <w:autoSpaceDN/>
        <w:adjustRightInd/>
        <w:spacing w:after="60"/>
        <w:ind w:left="0" w:firstLine="0"/>
        <w:jc w:val="center"/>
        <w:rPr>
          <w:color w:val="000000"/>
        </w:rPr>
      </w:pPr>
      <w:r w:rsidRPr="00247626">
        <w:rPr>
          <w:rFonts w:asciiTheme="minorHAnsi" w:hAnsiTheme="minorHAnsi" w:cstheme="minorHAnsi"/>
          <w:b/>
          <w:i/>
          <w:noProof/>
        </w:rPr>
        <w:drawing>
          <wp:inline distT="0" distB="0" distL="0" distR="0" wp14:anchorId="21CD0AEA" wp14:editId="30DD00A0">
            <wp:extent cx="5943600" cy="45007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6671" cy="4503119"/>
                    </a:xfrm>
                    <a:prstGeom prst="rect">
                      <a:avLst/>
                    </a:prstGeom>
                    <a:noFill/>
                    <a:ln>
                      <a:noFill/>
                    </a:ln>
                  </pic:spPr>
                </pic:pic>
              </a:graphicData>
            </a:graphic>
          </wp:inline>
        </w:drawing>
      </w:r>
    </w:p>
    <w:p w14:paraId="2C95A8ED" w14:textId="1E749044" w:rsidR="00057BDB" w:rsidRDefault="00057BDB" w:rsidP="001B3941">
      <w:pPr>
        <w:ind w:right="30"/>
        <w:jc w:val="both"/>
      </w:pPr>
    </w:p>
    <w:p w14:paraId="78CF306E" w14:textId="6F913B61" w:rsidR="0003354D" w:rsidRDefault="0003354D">
      <w:r>
        <w:br w:type="page"/>
      </w:r>
    </w:p>
    <w:p w14:paraId="70766660" w14:textId="77777777" w:rsidR="005F55AB" w:rsidRDefault="005F55AB" w:rsidP="00130B67">
      <w:pPr>
        <w:tabs>
          <w:tab w:val="left" w:pos="1170"/>
        </w:tabs>
        <w:kinsoku w:val="0"/>
        <w:overflowPunct w:val="0"/>
        <w:autoSpaceDE w:val="0"/>
        <w:autoSpaceDN w:val="0"/>
        <w:adjustRightInd w:val="0"/>
        <w:spacing w:before="120" w:after="120" w:line="240" w:lineRule="auto"/>
        <w:ind w:right="29"/>
        <w:jc w:val="both"/>
        <w:rPr>
          <w:rFonts w:cstheme="minorHAnsi"/>
          <w:b/>
          <w:bCs/>
          <w:sz w:val="24"/>
          <w:szCs w:val="24"/>
        </w:rPr>
      </w:pPr>
    </w:p>
    <w:p w14:paraId="546C046C" w14:textId="77777777" w:rsidR="005F55AB" w:rsidRDefault="005F55AB" w:rsidP="00130B67">
      <w:pPr>
        <w:tabs>
          <w:tab w:val="left" w:pos="1170"/>
        </w:tabs>
        <w:kinsoku w:val="0"/>
        <w:overflowPunct w:val="0"/>
        <w:autoSpaceDE w:val="0"/>
        <w:autoSpaceDN w:val="0"/>
        <w:adjustRightInd w:val="0"/>
        <w:spacing w:before="120" w:after="120" w:line="240" w:lineRule="auto"/>
        <w:ind w:right="29"/>
        <w:jc w:val="both"/>
        <w:rPr>
          <w:rFonts w:cstheme="minorHAnsi"/>
          <w:b/>
          <w:bCs/>
          <w:sz w:val="24"/>
          <w:szCs w:val="24"/>
        </w:rPr>
      </w:pPr>
    </w:p>
    <w:p w14:paraId="4B3E8AD6" w14:textId="77777777" w:rsidR="005F55AB" w:rsidRDefault="005F55AB" w:rsidP="00130B67">
      <w:pPr>
        <w:tabs>
          <w:tab w:val="left" w:pos="1170"/>
        </w:tabs>
        <w:kinsoku w:val="0"/>
        <w:overflowPunct w:val="0"/>
        <w:autoSpaceDE w:val="0"/>
        <w:autoSpaceDN w:val="0"/>
        <w:adjustRightInd w:val="0"/>
        <w:spacing w:before="120" w:after="120" w:line="240" w:lineRule="auto"/>
        <w:ind w:right="29"/>
        <w:jc w:val="both"/>
        <w:rPr>
          <w:rFonts w:cstheme="minorHAnsi"/>
          <w:b/>
          <w:bCs/>
          <w:sz w:val="24"/>
          <w:szCs w:val="24"/>
        </w:rPr>
      </w:pPr>
    </w:p>
    <w:p w14:paraId="530DA1D5" w14:textId="4EF294AD" w:rsidR="0003354D" w:rsidRDefault="0003354D" w:rsidP="00130B67">
      <w:pPr>
        <w:tabs>
          <w:tab w:val="left" w:pos="1170"/>
        </w:tabs>
        <w:kinsoku w:val="0"/>
        <w:overflowPunct w:val="0"/>
        <w:autoSpaceDE w:val="0"/>
        <w:autoSpaceDN w:val="0"/>
        <w:adjustRightInd w:val="0"/>
        <w:spacing w:before="120" w:after="120" w:line="240" w:lineRule="auto"/>
        <w:ind w:right="29"/>
        <w:jc w:val="both"/>
        <w:rPr>
          <w:rFonts w:cstheme="minorHAnsi"/>
          <w:b/>
          <w:bCs/>
          <w:spacing w:val="1"/>
          <w:sz w:val="24"/>
          <w:szCs w:val="24"/>
        </w:rPr>
      </w:pPr>
      <w:r w:rsidRPr="00B97F20">
        <w:rPr>
          <w:rFonts w:cstheme="minorHAnsi"/>
          <w:b/>
          <w:bCs/>
          <w:sz w:val="24"/>
          <w:szCs w:val="24"/>
        </w:rPr>
        <w:t>ANNEX</w:t>
      </w:r>
      <w:r w:rsidRPr="00B97F20">
        <w:rPr>
          <w:rFonts w:cstheme="minorHAnsi"/>
          <w:b/>
          <w:bCs/>
          <w:spacing w:val="1"/>
          <w:sz w:val="24"/>
          <w:szCs w:val="24"/>
        </w:rPr>
        <w:t xml:space="preserve"> </w:t>
      </w:r>
      <w:r w:rsidR="008649FB">
        <w:rPr>
          <w:rFonts w:cstheme="minorHAnsi"/>
          <w:b/>
          <w:bCs/>
          <w:sz w:val="24"/>
          <w:szCs w:val="24"/>
        </w:rPr>
        <w:t>6</w:t>
      </w:r>
      <w:r w:rsidRPr="00B97F20">
        <w:rPr>
          <w:rFonts w:cstheme="minorHAnsi"/>
          <w:b/>
          <w:bCs/>
          <w:spacing w:val="-1"/>
          <w:sz w:val="24"/>
          <w:szCs w:val="24"/>
        </w:rPr>
        <w:t xml:space="preserve"> </w:t>
      </w:r>
      <w:r w:rsidRPr="00B97F20">
        <w:rPr>
          <w:rFonts w:cstheme="minorHAnsi"/>
          <w:b/>
          <w:bCs/>
          <w:sz w:val="24"/>
          <w:szCs w:val="24"/>
        </w:rPr>
        <w:t>–</w:t>
      </w:r>
      <w:r w:rsidRPr="00B97F20">
        <w:rPr>
          <w:rFonts w:cstheme="minorHAnsi"/>
          <w:b/>
          <w:bCs/>
          <w:spacing w:val="1"/>
          <w:sz w:val="24"/>
          <w:szCs w:val="24"/>
        </w:rPr>
        <w:t xml:space="preserve"> </w:t>
      </w:r>
      <w:r>
        <w:rPr>
          <w:rFonts w:cstheme="minorHAnsi"/>
          <w:b/>
          <w:bCs/>
          <w:spacing w:val="1"/>
          <w:sz w:val="24"/>
          <w:szCs w:val="24"/>
        </w:rPr>
        <w:t>SUMMARY OF PUBLIC CONSULTATIONS</w:t>
      </w:r>
    </w:p>
    <w:p w14:paraId="07FB63EB" w14:textId="77777777" w:rsidR="0003354D" w:rsidRPr="00B63D91" w:rsidRDefault="0003354D" w:rsidP="0003354D">
      <w:pPr>
        <w:tabs>
          <w:tab w:val="left" w:pos="720"/>
        </w:tabs>
        <w:kinsoku w:val="0"/>
        <w:overflowPunct w:val="0"/>
        <w:autoSpaceDE w:val="0"/>
        <w:autoSpaceDN w:val="0"/>
        <w:adjustRightInd w:val="0"/>
        <w:spacing w:before="120" w:after="120" w:line="240" w:lineRule="auto"/>
        <w:ind w:left="720" w:right="29"/>
        <w:jc w:val="both"/>
        <w:rPr>
          <w:rFonts w:cstheme="minorHAnsi"/>
          <w:spacing w:val="1"/>
          <w:sz w:val="24"/>
          <w:szCs w:val="24"/>
        </w:rPr>
      </w:pPr>
    </w:p>
    <w:p w14:paraId="6052E113" w14:textId="12D2A75D" w:rsidR="0003354D" w:rsidRPr="007D1B69" w:rsidRDefault="0003354D" w:rsidP="00130B67">
      <w:pPr>
        <w:tabs>
          <w:tab w:val="left" w:pos="1080"/>
        </w:tabs>
        <w:kinsoku w:val="0"/>
        <w:overflowPunct w:val="0"/>
        <w:autoSpaceDE w:val="0"/>
        <w:autoSpaceDN w:val="0"/>
        <w:adjustRightInd w:val="0"/>
        <w:spacing w:before="120" w:after="120" w:line="240" w:lineRule="auto"/>
        <w:ind w:right="29"/>
        <w:jc w:val="both"/>
        <w:rPr>
          <w:rFonts w:cstheme="minorHAnsi"/>
          <w:b/>
          <w:bCs/>
          <w:spacing w:val="1"/>
          <w:sz w:val="24"/>
          <w:szCs w:val="24"/>
        </w:rPr>
      </w:pPr>
      <w:r w:rsidRPr="002746B5">
        <w:rPr>
          <w:rFonts w:cstheme="minorHAnsi"/>
          <w:b/>
          <w:bCs/>
          <w:spacing w:val="1"/>
          <w:sz w:val="24"/>
          <w:szCs w:val="24"/>
          <w:highlight w:val="yellow"/>
        </w:rPr>
        <w:t>[Provide a concise summary of public consultation inputs and findings. Personal identifying data shall not be disclosed</w:t>
      </w:r>
      <w:r w:rsidR="00D63476" w:rsidRPr="002746B5">
        <w:rPr>
          <w:rFonts w:cstheme="minorHAnsi"/>
          <w:b/>
          <w:bCs/>
          <w:spacing w:val="1"/>
          <w:sz w:val="24"/>
          <w:szCs w:val="24"/>
          <w:highlight w:val="yellow"/>
        </w:rPr>
        <w:t xml:space="preserve"> without consent of individual(s) concerned]</w:t>
      </w:r>
      <w:r w:rsidRPr="007D1B69">
        <w:rPr>
          <w:rFonts w:cstheme="minorHAnsi"/>
          <w:b/>
          <w:bCs/>
          <w:spacing w:val="1"/>
          <w:sz w:val="24"/>
          <w:szCs w:val="24"/>
        </w:rPr>
        <w:t xml:space="preserve">  </w:t>
      </w:r>
    </w:p>
    <w:p w14:paraId="319FF3A5" w14:textId="77777777" w:rsidR="00A33E52" w:rsidRDefault="00A33E52" w:rsidP="001B3941">
      <w:pPr>
        <w:ind w:right="30"/>
        <w:jc w:val="both"/>
      </w:pPr>
    </w:p>
    <w:p w14:paraId="63C99AD5" w14:textId="77777777" w:rsidR="00580F72" w:rsidRDefault="00580F72" w:rsidP="001B3941">
      <w:pPr>
        <w:ind w:right="30"/>
        <w:jc w:val="both"/>
      </w:pPr>
    </w:p>
    <w:sectPr w:rsidR="00580F72" w:rsidSect="00AF13BD">
      <w:type w:val="continuous"/>
      <w:pgSz w:w="11910" w:h="16840"/>
      <w:pgMar w:top="1440" w:right="1160" w:bottom="280" w:left="1710" w:header="720" w:footer="720" w:gutter="0"/>
      <w:cols w:space="720"/>
      <w:noEndnote/>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5DB1F9" w16cex:dateUtc="2021-12-10T04:01:00Z"/>
  <w16cex:commentExtensible w16cex:durableId="7E93E92B" w16cex:dateUtc="2021-11-24T15:28:00Z"/>
  <w16cex:commentExtensible w16cex:durableId="255DB252" w16cex:dateUtc="2021-12-10T04:02:00Z"/>
  <w16cex:commentExtensible w16cex:durableId="254769FA" w16cex:dateUtc="2021-11-23T06:24:00Z"/>
  <w16cex:commentExtensible w16cex:durableId="255DB2C0" w16cex:dateUtc="2021-12-10T04:04:00Z"/>
  <w16cex:commentExtensible w16cex:durableId="2547B6AB" w16cex:dateUtc="2021-11-23T11:51:00Z"/>
  <w16cex:commentExtensible w16cex:durableId="2547B70A" w16cex:dateUtc="2021-11-23T11:52:00Z"/>
  <w16cex:commentExtensible w16cex:durableId="255B9D08" w16cex:dateUtc="2021-12-08T14:37:00Z"/>
  <w16cex:commentExtensible w16cex:durableId="2549EB78" w16cex:dateUtc="2021-11-25T04:01:00Z"/>
  <w16cex:commentExtensible w16cex:durableId="2549F2DE" w16cex:dateUtc="2021-11-25T04:32:00Z"/>
  <w16cex:commentExtensible w16cex:durableId="255DBA2D" w16cex:dateUtc="2021-12-10T04:36:00Z"/>
  <w16cex:commentExtensible w16cex:durableId="255B9AE2" w16cex:dateUtc="2021-12-08T14:00:00Z"/>
  <w16cex:commentExtensible w16cex:durableId="255DF32A" w16cex:dateUtc="2021-12-10T08:39:00Z"/>
  <w16cex:commentExtensible w16cex:durableId="2561DE6A" w16cex:dateUtc="2021-12-13T08:29:00Z"/>
  <w16cex:commentExtensible w16cex:durableId="255B9C05" w16cex:dateUtc="2021-12-08T14:33:00Z"/>
  <w16cex:commentExtensible w16cex:durableId="255DC650" w16cex:dateUtc="2021-12-10T05:28:00Z"/>
  <w16cex:commentExtensible w16cex:durableId="2549E6C2" w16cex:dateUtc="2021-11-25T03:41:00Z"/>
  <w16cex:commentExtensible w16cex:durableId="255BA0F7" w16cex:dateUtc="2021-12-08T14:54:00Z"/>
  <w16cex:commentExtensible w16cex:durableId="2549EA0F" w16cex:dateUtc="2021-11-25T03:55:00Z"/>
  <w16cex:commentExtensible w16cex:durableId="255DFB41" w16cex:dateUtc="2021-12-10T09:1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46429" w14:textId="77777777" w:rsidR="00EB183C" w:rsidRDefault="00EB183C" w:rsidP="002368C0">
      <w:pPr>
        <w:spacing w:after="0" w:line="240" w:lineRule="auto"/>
      </w:pPr>
      <w:r>
        <w:separator/>
      </w:r>
    </w:p>
  </w:endnote>
  <w:endnote w:type="continuationSeparator" w:id="0">
    <w:p w14:paraId="7ACBD07C" w14:textId="77777777" w:rsidR="00EB183C" w:rsidRDefault="00EB183C" w:rsidP="00236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unPenh">
    <w:panose1 w:val="01010101010101010101"/>
    <w:charset w:val="00"/>
    <w:family w:val="auto"/>
    <w:pitch w:val="variable"/>
    <w:sig w:usb0="80000003" w:usb1="00000000" w:usb2="00010000" w:usb3="00000000" w:csb0="00000001" w:csb1="00000000"/>
  </w:font>
  <w:font w:name="Calibri Light">
    <w:panose1 w:val="020F0302020204030204"/>
    <w:charset w:val="00"/>
    <w:family w:val="swiss"/>
    <w:pitch w:val="variable"/>
    <w:sig w:usb0="E4002EFF" w:usb1="C000247B" w:usb2="00000009" w:usb3="00000000" w:csb0="000001FF" w:csb1="00000000"/>
  </w:font>
  <w:font w:name="MoolBoran">
    <w:panose1 w:val="020B0100010101010101"/>
    <w:charset w:val="00"/>
    <w:family w:val="swiss"/>
    <w:pitch w:val="variable"/>
    <w:sig w:usb0="80000003" w:usb1="00000000" w:usb2="0001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Khmer UI">
    <w:panose1 w:val="020B0502040204020203"/>
    <w:charset w:val="00"/>
    <w:family w:val="swiss"/>
    <w:pitch w:val="variable"/>
    <w:sig w:usb0="80000003" w:usb1="00000000" w:usb2="00010000" w:usb3="00000000" w:csb0="00000001" w:csb1="00000000"/>
  </w:font>
  <w:font w:name="TimesNewRomanPSMT">
    <w:altName w:val="Times New Roman"/>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68781" w14:textId="77777777" w:rsidR="00996CA0" w:rsidRDefault="00996C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4362285"/>
      <w:docPartObj>
        <w:docPartGallery w:val="Page Numbers (Bottom of Page)"/>
        <w:docPartUnique/>
      </w:docPartObj>
    </w:sdtPr>
    <w:sdtEndPr>
      <w:rPr>
        <w:noProof/>
      </w:rPr>
    </w:sdtEndPr>
    <w:sdtContent>
      <w:p w14:paraId="55277789" w14:textId="322022BE" w:rsidR="00996CA0" w:rsidRDefault="00996C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1E836E" w14:textId="77777777" w:rsidR="00996CA0" w:rsidRDefault="00996C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B09D8" w14:textId="77777777" w:rsidR="00996CA0" w:rsidRDefault="00996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350B8" w14:textId="77777777" w:rsidR="00EB183C" w:rsidRDefault="00EB183C" w:rsidP="002368C0">
      <w:pPr>
        <w:spacing w:after="0" w:line="240" w:lineRule="auto"/>
      </w:pPr>
      <w:r>
        <w:separator/>
      </w:r>
    </w:p>
  </w:footnote>
  <w:footnote w:type="continuationSeparator" w:id="0">
    <w:p w14:paraId="38D297D2" w14:textId="77777777" w:rsidR="00EB183C" w:rsidRDefault="00EB183C" w:rsidP="002368C0">
      <w:pPr>
        <w:spacing w:after="0" w:line="240" w:lineRule="auto"/>
      </w:pPr>
      <w:r>
        <w:continuationSeparator/>
      </w:r>
    </w:p>
  </w:footnote>
  <w:footnote w:id="1">
    <w:p w14:paraId="0A01F9E1" w14:textId="2C7878EA" w:rsidR="00996CA0" w:rsidRDefault="00996CA0" w:rsidP="00696D4F">
      <w:pPr>
        <w:pStyle w:val="FootnoteText"/>
      </w:pPr>
      <w:r>
        <w:rPr>
          <w:rStyle w:val="FootnoteReference"/>
        </w:rPr>
        <w:footnoteRef/>
      </w:r>
      <w:r>
        <w:t xml:space="preserve"> Subcomponent 2.1: Commune/Sangkat (C/S) Service Delivery Grants (C/S‐SDGs) for Women and Children (US$6.9 million).</w:t>
      </w:r>
    </w:p>
  </w:footnote>
  <w:footnote w:id="2">
    <w:p w14:paraId="4BB17B92" w14:textId="77777777" w:rsidR="00996CA0" w:rsidRPr="00C05C9D" w:rsidRDefault="00996CA0" w:rsidP="00812BF5">
      <w:pPr>
        <w:pStyle w:val="FootnoteText"/>
        <w:rPr>
          <w:szCs w:val="18"/>
        </w:rPr>
      </w:pPr>
      <w:r w:rsidRPr="00C05C9D">
        <w:rPr>
          <w:rStyle w:val="FootnoteReference"/>
          <w:szCs w:val="18"/>
        </w:rPr>
        <w:footnoteRef/>
      </w:r>
      <w:r w:rsidRPr="00C05C9D">
        <w:rPr>
          <w:szCs w:val="18"/>
        </w:rPr>
        <w:t xml:space="preserve"> The name CPWC has been used to align with the mandate of the CCWC which extends beyond health and nutrition. If </w:t>
      </w:r>
      <w:r>
        <w:rPr>
          <w:szCs w:val="18"/>
        </w:rPr>
        <w:t xml:space="preserve">it is </w:t>
      </w:r>
      <w:r w:rsidRPr="00C05C9D">
        <w:rPr>
          <w:szCs w:val="18"/>
        </w:rPr>
        <w:t>successful and feasible, it may be possible to expand the scope of CPWC activities beyond those proposed in the project.</w:t>
      </w:r>
    </w:p>
  </w:footnote>
  <w:footnote w:id="3">
    <w:p w14:paraId="73CDB64E" w14:textId="5762EA06" w:rsidR="00996CA0" w:rsidRDefault="00996CA0" w:rsidP="002746B5">
      <w:pPr>
        <w:pStyle w:val="FootnoteText"/>
        <w:ind w:left="1260"/>
      </w:pPr>
      <w:r>
        <w:rPr>
          <w:rStyle w:val="FootnoteReference"/>
        </w:rPr>
        <w:footnoteRef/>
      </w:r>
      <w:r>
        <w:t xml:space="preserve"> </w:t>
      </w:r>
      <w:r w:rsidRPr="001D3DD7">
        <w:t>Cambodia has signed the Convention on the Elimination of Racial Discrimination, the International Covenant on Economic, Social and Cultural Rights, the International Covenant on Civil and Political Rights, the International Convention on the Elimination of All forms of Discrimination Against Women, the Convention on the Rights of the Child, the Convention on Biological Diversity and voted in favor of UN Declaration on the Rights of Indigenous Peoples at the UN General Assembly. These international instruments contain a number of provisions related to the protection of the rights of indigenous peoples. While it has signed the ILO’s Discrimination (Employment and Occupation) Convention (No. 111), it has not signed the ILO’s Convention on Indigenous and Tribal Peoples (No. 169).</w:t>
      </w:r>
    </w:p>
  </w:footnote>
  <w:footnote w:id="4">
    <w:p w14:paraId="5F26D697" w14:textId="77777777" w:rsidR="00996CA0" w:rsidRPr="00B855B0" w:rsidRDefault="00996CA0" w:rsidP="007C37A1">
      <w:pPr>
        <w:pStyle w:val="FootnoteText"/>
        <w:ind w:right="30"/>
        <w:jc w:val="both"/>
        <w:rPr>
          <w:rFonts w:cs="Arial"/>
          <w:sz w:val="18"/>
          <w:szCs w:val="18"/>
        </w:rPr>
      </w:pPr>
      <w:r w:rsidRPr="00A60AB5">
        <w:rPr>
          <w:rStyle w:val="FootnoteReference"/>
          <w:rFonts w:cs="Arial"/>
          <w:szCs w:val="18"/>
        </w:rPr>
        <w:footnoteRef/>
      </w:r>
      <w:r w:rsidRPr="00B855B0">
        <w:rPr>
          <w:rFonts w:cs="Arial"/>
          <w:sz w:val="18"/>
          <w:szCs w:val="18"/>
        </w:rPr>
        <w:t xml:space="preserve"> </w:t>
      </w:r>
      <w:r w:rsidRPr="0059455A">
        <w:rPr>
          <w:rFonts w:cs="Arial"/>
          <w:bCs/>
          <w:sz w:val="18"/>
          <w:szCs w:val="18"/>
        </w:rPr>
        <w:t>Consent</w:t>
      </w:r>
      <w:r w:rsidRPr="00B855B0">
        <w:rPr>
          <w:rFonts w:cs="Arial"/>
          <w:sz w:val="18"/>
          <w:szCs w:val="18"/>
        </w:rPr>
        <w:t xml:space="preserve"> is defined as the informed choice underlying an individual’s free and voluntary intention, acceptance or agreement to do something. No consent can be found when such acceptance or agreement is obtained using threats, force or other forms of coercion, abduction, fraud, deception, or misrepresentation. In accordance with the United Nations Convention on the Rights of the Child, the World Bank considers that consent cannot be given by children under the age of 18, even if national legislation of the country into which the Code of Conduct is introduced has a lower age. Mistaken belief regarding the age of the child and consent from the child is not a defense.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827F8" w14:textId="48DC71F0" w:rsidR="00996CA0" w:rsidRDefault="00EB183C">
    <w:pPr>
      <w:pStyle w:val="Header"/>
    </w:pPr>
    <w:r>
      <w:rPr>
        <w:noProof/>
      </w:rPr>
      <w:pict w14:anchorId="6ABF52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717235" o:spid="_x0000_s2050" type="#_x0000_t136" style="position:absolute;margin-left:0;margin-top:0;width:623.55pt;height:89.05pt;rotation:315;z-index:-251655168;mso-position-horizontal:center;mso-position-horizontal-relative:margin;mso-position-vertical:center;mso-position-vertical-relative:margin" o:allowincell="f" fillcolor="silver" stroked="f">
          <v:fill opacity=".5"/>
          <v:textpath style="font-family:&quot;Calibri&quot;;font-size:1pt" string="DRAFT FOR CONSULTATION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425A1" w14:textId="2A73D6CE" w:rsidR="00996CA0" w:rsidRDefault="00EB183C">
    <w:pPr>
      <w:pStyle w:val="Header"/>
    </w:pPr>
    <w:r>
      <w:rPr>
        <w:noProof/>
      </w:rPr>
      <w:pict w14:anchorId="4AF816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717236" o:spid="_x0000_s2051" type="#_x0000_t136" style="position:absolute;margin-left:0;margin-top:0;width:623.55pt;height:89.05pt;rotation:315;z-index:-251653120;mso-position-horizontal:center;mso-position-horizontal-relative:margin;mso-position-vertical:center;mso-position-vertical-relative:margin" o:allowincell="f" fillcolor="silver" stroked="f">
          <v:fill opacity=".5"/>
          <v:textpath style="font-family:&quot;Calibri&quot;;font-size:1pt" string="DRAFT FOR CONSULTATION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1B5EB" w14:textId="3330DBEC" w:rsidR="00996CA0" w:rsidRDefault="00EB183C">
    <w:pPr>
      <w:pStyle w:val="Header"/>
    </w:pPr>
    <w:r>
      <w:rPr>
        <w:noProof/>
      </w:rPr>
      <w:pict w14:anchorId="42A0F0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717234" o:spid="_x0000_s2049" type="#_x0000_t136" style="position:absolute;margin-left:0;margin-top:0;width:623.55pt;height:89.05pt;rotation:315;z-index:-251657216;mso-position-horizontal:center;mso-position-horizontal-relative:margin;mso-position-vertical:center;mso-position-vertical-relative:margin" o:allowincell="f" fillcolor="silver" stroked="f">
          <v:fill opacity=".5"/>
          <v:textpath style="font-family:&quot;Calibri&quot;;font-size:1pt" string="DRAFT FOR CONSULTATION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1381" w:hanging="360"/>
      </w:pPr>
      <w:rPr>
        <w:rFonts w:ascii="Symbol" w:hAnsi="Symbol" w:cs="Symbol"/>
        <w:b w:val="0"/>
        <w:bCs w:val="0"/>
        <w:i w:val="0"/>
        <w:iCs w:val="0"/>
        <w:w w:val="100"/>
        <w:sz w:val="24"/>
        <w:szCs w:val="24"/>
      </w:rPr>
    </w:lvl>
    <w:lvl w:ilvl="1">
      <w:numFmt w:val="bullet"/>
      <w:lvlText w:val="•"/>
      <w:lvlJc w:val="left"/>
      <w:pPr>
        <w:ind w:left="2252" w:hanging="360"/>
      </w:pPr>
    </w:lvl>
    <w:lvl w:ilvl="2">
      <w:numFmt w:val="bullet"/>
      <w:lvlText w:val="•"/>
      <w:lvlJc w:val="left"/>
      <w:pPr>
        <w:ind w:left="3125" w:hanging="360"/>
      </w:pPr>
    </w:lvl>
    <w:lvl w:ilvl="3">
      <w:numFmt w:val="bullet"/>
      <w:lvlText w:val="•"/>
      <w:lvlJc w:val="left"/>
      <w:pPr>
        <w:ind w:left="3997" w:hanging="360"/>
      </w:pPr>
    </w:lvl>
    <w:lvl w:ilvl="4">
      <w:numFmt w:val="bullet"/>
      <w:lvlText w:val="•"/>
      <w:lvlJc w:val="left"/>
      <w:pPr>
        <w:ind w:left="4870" w:hanging="360"/>
      </w:pPr>
    </w:lvl>
    <w:lvl w:ilvl="5">
      <w:numFmt w:val="bullet"/>
      <w:lvlText w:val="•"/>
      <w:lvlJc w:val="left"/>
      <w:pPr>
        <w:ind w:left="5743" w:hanging="360"/>
      </w:pPr>
    </w:lvl>
    <w:lvl w:ilvl="6">
      <w:numFmt w:val="bullet"/>
      <w:lvlText w:val="•"/>
      <w:lvlJc w:val="left"/>
      <w:pPr>
        <w:ind w:left="6615" w:hanging="360"/>
      </w:pPr>
    </w:lvl>
    <w:lvl w:ilvl="7">
      <w:numFmt w:val="bullet"/>
      <w:lvlText w:val="•"/>
      <w:lvlJc w:val="left"/>
      <w:pPr>
        <w:ind w:left="7488" w:hanging="360"/>
      </w:pPr>
    </w:lvl>
    <w:lvl w:ilvl="8">
      <w:numFmt w:val="bullet"/>
      <w:lvlText w:val="•"/>
      <w:lvlJc w:val="left"/>
      <w:pPr>
        <w:ind w:left="8361" w:hanging="360"/>
      </w:pPr>
    </w:lvl>
  </w:abstractNum>
  <w:abstractNum w:abstractNumId="1" w15:restartNumberingAfterBreak="0">
    <w:nsid w:val="00000403"/>
    <w:multiLevelType w:val="multilevel"/>
    <w:tmpl w:val="00000886"/>
    <w:lvl w:ilvl="0">
      <w:start w:val="3"/>
      <w:numFmt w:val="decimal"/>
      <w:lvlText w:val="%1"/>
      <w:lvlJc w:val="left"/>
      <w:pPr>
        <w:ind w:left="1069" w:hanging="408"/>
      </w:pPr>
    </w:lvl>
    <w:lvl w:ilvl="1">
      <w:start w:val="1"/>
      <w:numFmt w:val="decimal"/>
      <w:lvlText w:val="%1.%2"/>
      <w:lvlJc w:val="left"/>
      <w:pPr>
        <w:ind w:left="1069" w:hanging="408"/>
      </w:pPr>
      <w:rPr>
        <w:rFonts w:ascii="Calibri" w:hAnsi="Calibri" w:cs="Calibri"/>
        <w:b/>
        <w:bCs/>
        <w:i w:val="0"/>
        <w:iCs w:val="0"/>
        <w:spacing w:val="-1"/>
        <w:w w:val="100"/>
        <w:sz w:val="28"/>
        <w:szCs w:val="28"/>
      </w:rPr>
    </w:lvl>
    <w:lvl w:ilvl="2">
      <w:numFmt w:val="bullet"/>
      <w:lvlText w:val="•"/>
      <w:lvlJc w:val="left"/>
      <w:pPr>
        <w:ind w:left="2869" w:hanging="408"/>
      </w:pPr>
    </w:lvl>
    <w:lvl w:ilvl="3">
      <w:numFmt w:val="bullet"/>
      <w:lvlText w:val="•"/>
      <w:lvlJc w:val="left"/>
      <w:pPr>
        <w:ind w:left="3773" w:hanging="408"/>
      </w:pPr>
    </w:lvl>
    <w:lvl w:ilvl="4">
      <w:numFmt w:val="bullet"/>
      <w:lvlText w:val="•"/>
      <w:lvlJc w:val="left"/>
      <w:pPr>
        <w:ind w:left="4678" w:hanging="408"/>
      </w:pPr>
    </w:lvl>
    <w:lvl w:ilvl="5">
      <w:numFmt w:val="bullet"/>
      <w:lvlText w:val="•"/>
      <w:lvlJc w:val="left"/>
      <w:pPr>
        <w:ind w:left="5583" w:hanging="408"/>
      </w:pPr>
    </w:lvl>
    <w:lvl w:ilvl="6">
      <w:numFmt w:val="bullet"/>
      <w:lvlText w:val="•"/>
      <w:lvlJc w:val="left"/>
      <w:pPr>
        <w:ind w:left="6487" w:hanging="408"/>
      </w:pPr>
    </w:lvl>
    <w:lvl w:ilvl="7">
      <w:numFmt w:val="bullet"/>
      <w:lvlText w:val="•"/>
      <w:lvlJc w:val="left"/>
      <w:pPr>
        <w:ind w:left="7392" w:hanging="408"/>
      </w:pPr>
    </w:lvl>
    <w:lvl w:ilvl="8">
      <w:numFmt w:val="bullet"/>
      <w:lvlText w:val="•"/>
      <w:lvlJc w:val="left"/>
      <w:pPr>
        <w:ind w:left="8297" w:hanging="408"/>
      </w:pPr>
    </w:lvl>
  </w:abstractNum>
  <w:abstractNum w:abstractNumId="2" w15:restartNumberingAfterBreak="0">
    <w:nsid w:val="00000404"/>
    <w:multiLevelType w:val="multilevel"/>
    <w:tmpl w:val="00000887"/>
    <w:lvl w:ilvl="0">
      <w:numFmt w:val="bullet"/>
      <w:lvlText w:val="-"/>
      <w:lvlJc w:val="left"/>
      <w:pPr>
        <w:ind w:left="1381" w:hanging="360"/>
      </w:pPr>
      <w:rPr>
        <w:rFonts w:ascii="Calibri" w:hAnsi="Calibri" w:cs="Calibri"/>
        <w:b w:val="0"/>
        <w:bCs w:val="0"/>
        <w:i w:val="0"/>
        <w:iCs w:val="0"/>
        <w:w w:val="100"/>
        <w:sz w:val="24"/>
        <w:szCs w:val="24"/>
      </w:rPr>
    </w:lvl>
    <w:lvl w:ilvl="1">
      <w:numFmt w:val="bullet"/>
      <w:lvlText w:val="•"/>
      <w:lvlJc w:val="left"/>
      <w:pPr>
        <w:ind w:left="2252" w:hanging="360"/>
      </w:pPr>
    </w:lvl>
    <w:lvl w:ilvl="2">
      <w:numFmt w:val="bullet"/>
      <w:lvlText w:val="•"/>
      <w:lvlJc w:val="left"/>
      <w:pPr>
        <w:ind w:left="3125" w:hanging="360"/>
      </w:pPr>
    </w:lvl>
    <w:lvl w:ilvl="3">
      <w:numFmt w:val="bullet"/>
      <w:lvlText w:val="•"/>
      <w:lvlJc w:val="left"/>
      <w:pPr>
        <w:ind w:left="3997" w:hanging="360"/>
      </w:pPr>
    </w:lvl>
    <w:lvl w:ilvl="4">
      <w:numFmt w:val="bullet"/>
      <w:lvlText w:val="•"/>
      <w:lvlJc w:val="left"/>
      <w:pPr>
        <w:ind w:left="4870" w:hanging="360"/>
      </w:pPr>
    </w:lvl>
    <w:lvl w:ilvl="5">
      <w:numFmt w:val="bullet"/>
      <w:lvlText w:val="•"/>
      <w:lvlJc w:val="left"/>
      <w:pPr>
        <w:ind w:left="5743" w:hanging="360"/>
      </w:pPr>
    </w:lvl>
    <w:lvl w:ilvl="6">
      <w:numFmt w:val="bullet"/>
      <w:lvlText w:val="•"/>
      <w:lvlJc w:val="left"/>
      <w:pPr>
        <w:ind w:left="6615" w:hanging="360"/>
      </w:pPr>
    </w:lvl>
    <w:lvl w:ilvl="7">
      <w:numFmt w:val="bullet"/>
      <w:lvlText w:val="•"/>
      <w:lvlJc w:val="left"/>
      <w:pPr>
        <w:ind w:left="7488" w:hanging="360"/>
      </w:pPr>
    </w:lvl>
    <w:lvl w:ilvl="8">
      <w:numFmt w:val="bullet"/>
      <w:lvlText w:val="•"/>
      <w:lvlJc w:val="left"/>
      <w:pPr>
        <w:ind w:left="8361" w:hanging="360"/>
      </w:pPr>
    </w:lvl>
  </w:abstractNum>
  <w:abstractNum w:abstractNumId="3" w15:restartNumberingAfterBreak="0">
    <w:nsid w:val="00000405"/>
    <w:multiLevelType w:val="multilevel"/>
    <w:tmpl w:val="00000888"/>
    <w:lvl w:ilvl="0">
      <w:start w:val="3"/>
      <w:numFmt w:val="decimal"/>
      <w:lvlText w:val="%1"/>
      <w:lvlJc w:val="left"/>
      <w:pPr>
        <w:ind w:left="1069" w:hanging="408"/>
      </w:pPr>
    </w:lvl>
    <w:lvl w:ilvl="1">
      <w:start w:val="3"/>
      <w:numFmt w:val="decimal"/>
      <w:lvlText w:val="%1.%2"/>
      <w:lvlJc w:val="left"/>
      <w:pPr>
        <w:ind w:left="1069" w:hanging="408"/>
      </w:pPr>
      <w:rPr>
        <w:rFonts w:ascii="Calibri" w:hAnsi="Calibri" w:cs="Calibri"/>
        <w:b/>
        <w:bCs/>
        <w:i w:val="0"/>
        <w:iCs w:val="0"/>
        <w:spacing w:val="-1"/>
        <w:w w:val="100"/>
        <w:sz w:val="28"/>
        <w:szCs w:val="28"/>
      </w:rPr>
    </w:lvl>
    <w:lvl w:ilvl="2">
      <w:start w:val="1"/>
      <w:numFmt w:val="decimal"/>
      <w:lvlText w:val="%1.%2.%3"/>
      <w:lvlJc w:val="left"/>
      <w:pPr>
        <w:ind w:left="1188" w:hanging="528"/>
      </w:pPr>
      <w:rPr>
        <w:rFonts w:ascii="Calibri" w:hAnsi="Calibri" w:cs="Calibri"/>
        <w:b/>
        <w:bCs/>
        <w:i w:val="0"/>
        <w:iCs w:val="0"/>
        <w:spacing w:val="-2"/>
        <w:w w:val="100"/>
        <w:sz w:val="23"/>
        <w:szCs w:val="23"/>
      </w:rPr>
    </w:lvl>
    <w:lvl w:ilvl="3">
      <w:numFmt w:val="bullet"/>
      <w:lvlText w:val="•"/>
      <w:lvlJc w:val="left"/>
      <w:pPr>
        <w:ind w:left="3163" w:hanging="528"/>
      </w:pPr>
    </w:lvl>
    <w:lvl w:ilvl="4">
      <w:numFmt w:val="bullet"/>
      <w:lvlText w:val="•"/>
      <w:lvlJc w:val="left"/>
      <w:pPr>
        <w:ind w:left="4155" w:hanging="528"/>
      </w:pPr>
    </w:lvl>
    <w:lvl w:ilvl="5">
      <w:numFmt w:val="bullet"/>
      <w:lvlText w:val="•"/>
      <w:lvlJc w:val="left"/>
      <w:pPr>
        <w:ind w:left="5147" w:hanging="528"/>
      </w:pPr>
    </w:lvl>
    <w:lvl w:ilvl="6">
      <w:numFmt w:val="bullet"/>
      <w:lvlText w:val="•"/>
      <w:lvlJc w:val="left"/>
      <w:pPr>
        <w:ind w:left="6139" w:hanging="528"/>
      </w:pPr>
    </w:lvl>
    <w:lvl w:ilvl="7">
      <w:numFmt w:val="bullet"/>
      <w:lvlText w:val="•"/>
      <w:lvlJc w:val="left"/>
      <w:pPr>
        <w:ind w:left="7130" w:hanging="528"/>
      </w:pPr>
    </w:lvl>
    <w:lvl w:ilvl="8">
      <w:numFmt w:val="bullet"/>
      <w:lvlText w:val="•"/>
      <w:lvlJc w:val="left"/>
      <w:pPr>
        <w:ind w:left="8122" w:hanging="528"/>
      </w:pPr>
    </w:lvl>
  </w:abstractNum>
  <w:abstractNum w:abstractNumId="4" w15:restartNumberingAfterBreak="0">
    <w:nsid w:val="00000406"/>
    <w:multiLevelType w:val="multilevel"/>
    <w:tmpl w:val="00000889"/>
    <w:lvl w:ilvl="0">
      <w:start w:val="4"/>
      <w:numFmt w:val="decimal"/>
      <w:lvlText w:val="%1"/>
      <w:lvlJc w:val="left"/>
      <w:pPr>
        <w:ind w:left="1069" w:hanging="408"/>
      </w:pPr>
    </w:lvl>
    <w:lvl w:ilvl="1">
      <w:start w:val="1"/>
      <w:numFmt w:val="decimal"/>
      <w:lvlText w:val="%1.%2"/>
      <w:lvlJc w:val="left"/>
      <w:pPr>
        <w:ind w:left="1069" w:hanging="408"/>
      </w:pPr>
      <w:rPr>
        <w:rFonts w:ascii="Calibri" w:hAnsi="Calibri" w:cs="Calibri"/>
        <w:b/>
        <w:bCs/>
        <w:i w:val="0"/>
        <w:iCs w:val="0"/>
        <w:spacing w:val="-1"/>
        <w:w w:val="100"/>
        <w:sz w:val="28"/>
        <w:szCs w:val="28"/>
      </w:rPr>
    </w:lvl>
    <w:lvl w:ilvl="2">
      <w:start w:val="1"/>
      <w:numFmt w:val="decimal"/>
      <w:lvlText w:val="%1.%2.%3"/>
      <w:lvlJc w:val="left"/>
      <w:pPr>
        <w:ind w:left="1210" w:hanging="550"/>
      </w:pPr>
      <w:rPr>
        <w:rFonts w:ascii="Calibri" w:hAnsi="Calibri" w:cs="Calibri"/>
        <w:b/>
        <w:bCs/>
        <w:i w:val="0"/>
        <w:iCs w:val="0"/>
        <w:spacing w:val="-1"/>
        <w:w w:val="100"/>
        <w:sz w:val="24"/>
        <w:szCs w:val="24"/>
      </w:rPr>
    </w:lvl>
    <w:lvl w:ilvl="3">
      <w:numFmt w:val="bullet"/>
      <w:lvlText w:val="•"/>
      <w:lvlJc w:val="left"/>
      <w:pPr>
        <w:ind w:left="3194" w:hanging="550"/>
      </w:pPr>
    </w:lvl>
    <w:lvl w:ilvl="4">
      <w:numFmt w:val="bullet"/>
      <w:lvlText w:val="•"/>
      <w:lvlJc w:val="left"/>
      <w:pPr>
        <w:ind w:left="4182" w:hanging="550"/>
      </w:pPr>
    </w:lvl>
    <w:lvl w:ilvl="5">
      <w:numFmt w:val="bullet"/>
      <w:lvlText w:val="•"/>
      <w:lvlJc w:val="left"/>
      <w:pPr>
        <w:ind w:left="5169" w:hanging="550"/>
      </w:pPr>
    </w:lvl>
    <w:lvl w:ilvl="6">
      <w:numFmt w:val="bullet"/>
      <w:lvlText w:val="•"/>
      <w:lvlJc w:val="left"/>
      <w:pPr>
        <w:ind w:left="6156" w:hanging="550"/>
      </w:pPr>
    </w:lvl>
    <w:lvl w:ilvl="7">
      <w:numFmt w:val="bullet"/>
      <w:lvlText w:val="•"/>
      <w:lvlJc w:val="left"/>
      <w:pPr>
        <w:ind w:left="7144" w:hanging="550"/>
      </w:pPr>
    </w:lvl>
    <w:lvl w:ilvl="8">
      <w:numFmt w:val="bullet"/>
      <w:lvlText w:val="•"/>
      <w:lvlJc w:val="left"/>
      <w:pPr>
        <w:ind w:left="8131" w:hanging="550"/>
      </w:pPr>
    </w:lvl>
  </w:abstractNum>
  <w:abstractNum w:abstractNumId="5" w15:restartNumberingAfterBreak="0">
    <w:nsid w:val="00000407"/>
    <w:multiLevelType w:val="multilevel"/>
    <w:tmpl w:val="0000088A"/>
    <w:lvl w:ilvl="0">
      <w:numFmt w:val="bullet"/>
      <w:lvlText w:val=""/>
      <w:lvlJc w:val="left"/>
      <w:pPr>
        <w:ind w:left="1381" w:hanging="360"/>
      </w:pPr>
      <w:rPr>
        <w:rFonts w:ascii="Symbol" w:hAnsi="Symbol" w:cs="Symbol"/>
        <w:b w:val="0"/>
        <w:bCs w:val="0"/>
        <w:i w:val="0"/>
        <w:iCs w:val="0"/>
        <w:w w:val="100"/>
        <w:sz w:val="24"/>
        <w:szCs w:val="24"/>
      </w:rPr>
    </w:lvl>
    <w:lvl w:ilvl="1">
      <w:numFmt w:val="bullet"/>
      <w:lvlText w:val="•"/>
      <w:lvlJc w:val="left"/>
      <w:pPr>
        <w:ind w:left="2252" w:hanging="360"/>
      </w:pPr>
    </w:lvl>
    <w:lvl w:ilvl="2">
      <w:numFmt w:val="bullet"/>
      <w:lvlText w:val="•"/>
      <w:lvlJc w:val="left"/>
      <w:pPr>
        <w:ind w:left="3125" w:hanging="360"/>
      </w:pPr>
    </w:lvl>
    <w:lvl w:ilvl="3">
      <w:numFmt w:val="bullet"/>
      <w:lvlText w:val="•"/>
      <w:lvlJc w:val="left"/>
      <w:pPr>
        <w:ind w:left="3997" w:hanging="360"/>
      </w:pPr>
    </w:lvl>
    <w:lvl w:ilvl="4">
      <w:numFmt w:val="bullet"/>
      <w:lvlText w:val="•"/>
      <w:lvlJc w:val="left"/>
      <w:pPr>
        <w:ind w:left="4870" w:hanging="360"/>
      </w:pPr>
    </w:lvl>
    <w:lvl w:ilvl="5">
      <w:numFmt w:val="bullet"/>
      <w:lvlText w:val="•"/>
      <w:lvlJc w:val="left"/>
      <w:pPr>
        <w:ind w:left="5743" w:hanging="360"/>
      </w:pPr>
    </w:lvl>
    <w:lvl w:ilvl="6">
      <w:numFmt w:val="bullet"/>
      <w:lvlText w:val="•"/>
      <w:lvlJc w:val="left"/>
      <w:pPr>
        <w:ind w:left="6615" w:hanging="360"/>
      </w:pPr>
    </w:lvl>
    <w:lvl w:ilvl="7">
      <w:numFmt w:val="bullet"/>
      <w:lvlText w:val="•"/>
      <w:lvlJc w:val="left"/>
      <w:pPr>
        <w:ind w:left="7488" w:hanging="360"/>
      </w:pPr>
    </w:lvl>
    <w:lvl w:ilvl="8">
      <w:numFmt w:val="bullet"/>
      <w:lvlText w:val="•"/>
      <w:lvlJc w:val="left"/>
      <w:pPr>
        <w:ind w:left="8361" w:hanging="360"/>
      </w:pPr>
    </w:lvl>
  </w:abstractNum>
  <w:abstractNum w:abstractNumId="6" w15:restartNumberingAfterBreak="0">
    <w:nsid w:val="00000408"/>
    <w:multiLevelType w:val="multilevel"/>
    <w:tmpl w:val="0000088B"/>
    <w:lvl w:ilvl="0">
      <w:start w:val="4"/>
      <w:numFmt w:val="decimal"/>
      <w:lvlText w:val="%1"/>
      <w:lvlJc w:val="left"/>
      <w:pPr>
        <w:ind w:left="1210" w:hanging="550"/>
      </w:pPr>
    </w:lvl>
    <w:lvl w:ilvl="1">
      <w:start w:val="2"/>
      <w:numFmt w:val="decimal"/>
      <w:lvlText w:val="%1.%2"/>
      <w:lvlJc w:val="left"/>
      <w:pPr>
        <w:ind w:left="1210" w:hanging="550"/>
      </w:pPr>
    </w:lvl>
    <w:lvl w:ilvl="2">
      <w:start w:val="3"/>
      <w:numFmt w:val="decimal"/>
      <w:lvlText w:val="%1.%2.%3"/>
      <w:lvlJc w:val="left"/>
      <w:pPr>
        <w:ind w:left="1210" w:hanging="550"/>
      </w:pPr>
      <w:rPr>
        <w:rFonts w:ascii="Calibri" w:hAnsi="Calibri" w:cs="Calibri"/>
        <w:b/>
        <w:bCs/>
        <w:i w:val="0"/>
        <w:iCs w:val="0"/>
        <w:spacing w:val="-1"/>
        <w:w w:val="100"/>
        <w:sz w:val="24"/>
        <w:szCs w:val="24"/>
      </w:rPr>
    </w:lvl>
    <w:lvl w:ilvl="3">
      <w:numFmt w:val="bullet"/>
      <w:lvlText w:val="-"/>
      <w:lvlJc w:val="left"/>
      <w:pPr>
        <w:ind w:left="1381" w:hanging="360"/>
      </w:pPr>
      <w:rPr>
        <w:rFonts w:ascii="Calibri" w:hAnsi="Calibri" w:cs="Calibri"/>
        <w:b w:val="0"/>
        <w:bCs w:val="0"/>
        <w:i w:val="0"/>
        <w:iCs w:val="0"/>
        <w:w w:val="100"/>
        <w:sz w:val="24"/>
        <w:szCs w:val="24"/>
      </w:rPr>
    </w:lvl>
    <w:lvl w:ilvl="4">
      <w:numFmt w:val="bullet"/>
      <w:lvlText w:val="•"/>
      <w:lvlJc w:val="left"/>
      <w:pPr>
        <w:ind w:left="4288" w:hanging="360"/>
      </w:pPr>
    </w:lvl>
    <w:lvl w:ilvl="5">
      <w:numFmt w:val="bullet"/>
      <w:lvlText w:val="•"/>
      <w:lvlJc w:val="left"/>
      <w:pPr>
        <w:ind w:left="5258" w:hanging="360"/>
      </w:pPr>
    </w:lvl>
    <w:lvl w:ilvl="6">
      <w:numFmt w:val="bullet"/>
      <w:lvlText w:val="•"/>
      <w:lvlJc w:val="left"/>
      <w:pPr>
        <w:ind w:left="6228" w:hanging="360"/>
      </w:pPr>
    </w:lvl>
    <w:lvl w:ilvl="7">
      <w:numFmt w:val="bullet"/>
      <w:lvlText w:val="•"/>
      <w:lvlJc w:val="left"/>
      <w:pPr>
        <w:ind w:left="7197" w:hanging="360"/>
      </w:pPr>
    </w:lvl>
    <w:lvl w:ilvl="8">
      <w:numFmt w:val="bullet"/>
      <w:lvlText w:val="•"/>
      <w:lvlJc w:val="left"/>
      <w:pPr>
        <w:ind w:left="8167" w:hanging="360"/>
      </w:pPr>
    </w:lvl>
  </w:abstractNum>
  <w:abstractNum w:abstractNumId="7" w15:restartNumberingAfterBreak="0">
    <w:nsid w:val="00000409"/>
    <w:multiLevelType w:val="multilevel"/>
    <w:tmpl w:val="0000088C"/>
    <w:lvl w:ilvl="0">
      <w:numFmt w:val="bullet"/>
      <w:lvlText w:val=""/>
      <w:lvlJc w:val="left"/>
      <w:pPr>
        <w:ind w:left="1381" w:hanging="360"/>
      </w:pPr>
      <w:rPr>
        <w:rFonts w:ascii="Symbol" w:hAnsi="Symbol" w:cs="Symbol"/>
        <w:b w:val="0"/>
        <w:bCs w:val="0"/>
        <w:i w:val="0"/>
        <w:iCs w:val="0"/>
        <w:w w:val="100"/>
        <w:sz w:val="24"/>
        <w:szCs w:val="24"/>
      </w:rPr>
    </w:lvl>
    <w:lvl w:ilvl="1">
      <w:numFmt w:val="bullet"/>
      <w:lvlText w:val="•"/>
      <w:lvlJc w:val="left"/>
      <w:pPr>
        <w:ind w:left="2252" w:hanging="360"/>
      </w:pPr>
    </w:lvl>
    <w:lvl w:ilvl="2">
      <w:numFmt w:val="bullet"/>
      <w:lvlText w:val="•"/>
      <w:lvlJc w:val="left"/>
      <w:pPr>
        <w:ind w:left="3125" w:hanging="360"/>
      </w:pPr>
    </w:lvl>
    <w:lvl w:ilvl="3">
      <w:numFmt w:val="bullet"/>
      <w:lvlText w:val="•"/>
      <w:lvlJc w:val="left"/>
      <w:pPr>
        <w:ind w:left="3997" w:hanging="360"/>
      </w:pPr>
    </w:lvl>
    <w:lvl w:ilvl="4">
      <w:numFmt w:val="bullet"/>
      <w:lvlText w:val="•"/>
      <w:lvlJc w:val="left"/>
      <w:pPr>
        <w:ind w:left="4870" w:hanging="360"/>
      </w:pPr>
    </w:lvl>
    <w:lvl w:ilvl="5">
      <w:numFmt w:val="bullet"/>
      <w:lvlText w:val="•"/>
      <w:lvlJc w:val="left"/>
      <w:pPr>
        <w:ind w:left="5743" w:hanging="360"/>
      </w:pPr>
    </w:lvl>
    <w:lvl w:ilvl="6">
      <w:numFmt w:val="bullet"/>
      <w:lvlText w:val="•"/>
      <w:lvlJc w:val="left"/>
      <w:pPr>
        <w:ind w:left="6615" w:hanging="360"/>
      </w:pPr>
    </w:lvl>
    <w:lvl w:ilvl="7">
      <w:numFmt w:val="bullet"/>
      <w:lvlText w:val="•"/>
      <w:lvlJc w:val="left"/>
      <w:pPr>
        <w:ind w:left="7488" w:hanging="360"/>
      </w:pPr>
    </w:lvl>
    <w:lvl w:ilvl="8">
      <w:numFmt w:val="bullet"/>
      <w:lvlText w:val="•"/>
      <w:lvlJc w:val="left"/>
      <w:pPr>
        <w:ind w:left="8361" w:hanging="360"/>
      </w:pPr>
    </w:lvl>
  </w:abstractNum>
  <w:abstractNum w:abstractNumId="8" w15:restartNumberingAfterBreak="0">
    <w:nsid w:val="0000040A"/>
    <w:multiLevelType w:val="multilevel"/>
    <w:tmpl w:val="0000088D"/>
    <w:lvl w:ilvl="0">
      <w:numFmt w:val="bullet"/>
      <w:lvlText w:val=""/>
      <w:lvlJc w:val="left"/>
      <w:pPr>
        <w:ind w:left="1381" w:hanging="360"/>
      </w:pPr>
      <w:rPr>
        <w:rFonts w:ascii="Symbol" w:hAnsi="Symbol" w:cs="Symbol"/>
        <w:b w:val="0"/>
        <w:bCs w:val="0"/>
        <w:i w:val="0"/>
        <w:iCs w:val="0"/>
        <w:w w:val="100"/>
        <w:sz w:val="24"/>
        <w:szCs w:val="24"/>
      </w:rPr>
    </w:lvl>
    <w:lvl w:ilvl="1">
      <w:numFmt w:val="bullet"/>
      <w:lvlText w:val="•"/>
      <w:lvlJc w:val="left"/>
      <w:pPr>
        <w:ind w:left="2252" w:hanging="360"/>
      </w:pPr>
    </w:lvl>
    <w:lvl w:ilvl="2">
      <w:numFmt w:val="bullet"/>
      <w:lvlText w:val="•"/>
      <w:lvlJc w:val="left"/>
      <w:pPr>
        <w:ind w:left="3125" w:hanging="360"/>
      </w:pPr>
    </w:lvl>
    <w:lvl w:ilvl="3">
      <w:numFmt w:val="bullet"/>
      <w:lvlText w:val="•"/>
      <w:lvlJc w:val="left"/>
      <w:pPr>
        <w:ind w:left="3997" w:hanging="360"/>
      </w:pPr>
    </w:lvl>
    <w:lvl w:ilvl="4">
      <w:numFmt w:val="bullet"/>
      <w:lvlText w:val="•"/>
      <w:lvlJc w:val="left"/>
      <w:pPr>
        <w:ind w:left="4870" w:hanging="360"/>
      </w:pPr>
    </w:lvl>
    <w:lvl w:ilvl="5">
      <w:numFmt w:val="bullet"/>
      <w:lvlText w:val="•"/>
      <w:lvlJc w:val="left"/>
      <w:pPr>
        <w:ind w:left="5743" w:hanging="360"/>
      </w:pPr>
    </w:lvl>
    <w:lvl w:ilvl="6">
      <w:numFmt w:val="bullet"/>
      <w:lvlText w:val="•"/>
      <w:lvlJc w:val="left"/>
      <w:pPr>
        <w:ind w:left="6615" w:hanging="360"/>
      </w:pPr>
    </w:lvl>
    <w:lvl w:ilvl="7">
      <w:numFmt w:val="bullet"/>
      <w:lvlText w:val="•"/>
      <w:lvlJc w:val="left"/>
      <w:pPr>
        <w:ind w:left="7488" w:hanging="360"/>
      </w:pPr>
    </w:lvl>
    <w:lvl w:ilvl="8">
      <w:numFmt w:val="bullet"/>
      <w:lvlText w:val="•"/>
      <w:lvlJc w:val="left"/>
      <w:pPr>
        <w:ind w:left="8361" w:hanging="360"/>
      </w:pPr>
    </w:lvl>
  </w:abstractNum>
  <w:abstractNum w:abstractNumId="9" w15:restartNumberingAfterBreak="0">
    <w:nsid w:val="0000040B"/>
    <w:multiLevelType w:val="multilevel"/>
    <w:tmpl w:val="0000088E"/>
    <w:lvl w:ilvl="0">
      <w:start w:val="6"/>
      <w:numFmt w:val="decimal"/>
      <w:lvlText w:val="%1."/>
      <w:lvlJc w:val="left"/>
      <w:pPr>
        <w:ind w:left="939" w:hanging="279"/>
      </w:pPr>
      <w:rPr>
        <w:rFonts w:ascii="Calibri" w:hAnsi="Calibri" w:cs="Calibri"/>
        <w:b/>
        <w:bCs/>
        <w:i w:val="0"/>
        <w:iCs w:val="0"/>
        <w:spacing w:val="-1"/>
        <w:w w:val="100"/>
        <w:sz w:val="28"/>
        <w:szCs w:val="28"/>
      </w:rPr>
    </w:lvl>
    <w:lvl w:ilvl="1">
      <w:numFmt w:val="bullet"/>
      <w:lvlText w:val="•"/>
      <w:lvlJc w:val="left"/>
      <w:pPr>
        <w:ind w:left="1856" w:hanging="279"/>
      </w:pPr>
    </w:lvl>
    <w:lvl w:ilvl="2">
      <w:numFmt w:val="bullet"/>
      <w:lvlText w:val="•"/>
      <w:lvlJc w:val="left"/>
      <w:pPr>
        <w:ind w:left="2773" w:hanging="279"/>
      </w:pPr>
    </w:lvl>
    <w:lvl w:ilvl="3">
      <w:numFmt w:val="bullet"/>
      <w:lvlText w:val="•"/>
      <w:lvlJc w:val="left"/>
      <w:pPr>
        <w:ind w:left="3689" w:hanging="279"/>
      </w:pPr>
    </w:lvl>
    <w:lvl w:ilvl="4">
      <w:numFmt w:val="bullet"/>
      <w:lvlText w:val="•"/>
      <w:lvlJc w:val="left"/>
      <w:pPr>
        <w:ind w:left="4606" w:hanging="279"/>
      </w:pPr>
    </w:lvl>
    <w:lvl w:ilvl="5">
      <w:numFmt w:val="bullet"/>
      <w:lvlText w:val="•"/>
      <w:lvlJc w:val="left"/>
      <w:pPr>
        <w:ind w:left="5523" w:hanging="279"/>
      </w:pPr>
    </w:lvl>
    <w:lvl w:ilvl="6">
      <w:numFmt w:val="bullet"/>
      <w:lvlText w:val="•"/>
      <w:lvlJc w:val="left"/>
      <w:pPr>
        <w:ind w:left="6439" w:hanging="279"/>
      </w:pPr>
    </w:lvl>
    <w:lvl w:ilvl="7">
      <w:numFmt w:val="bullet"/>
      <w:lvlText w:val="•"/>
      <w:lvlJc w:val="left"/>
      <w:pPr>
        <w:ind w:left="7356" w:hanging="279"/>
      </w:pPr>
    </w:lvl>
    <w:lvl w:ilvl="8">
      <w:numFmt w:val="bullet"/>
      <w:lvlText w:val="•"/>
      <w:lvlJc w:val="left"/>
      <w:pPr>
        <w:ind w:left="8273" w:hanging="279"/>
      </w:pPr>
    </w:lvl>
  </w:abstractNum>
  <w:abstractNum w:abstractNumId="10" w15:restartNumberingAfterBreak="0">
    <w:nsid w:val="0000040C"/>
    <w:multiLevelType w:val="multilevel"/>
    <w:tmpl w:val="0000088F"/>
    <w:lvl w:ilvl="0">
      <w:numFmt w:val="bullet"/>
      <w:lvlText w:val="-"/>
      <w:lvlJc w:val="left"/>
      <w:pPr>
        <w:ind w:left="1779" w:hanging="360"/>
      </w:pPr>
      <w:rPr>
        <w:rFonts w:ascii="Arial" w:hAnsi="Arial" w:cs="Arial"/>
        <w:b w:val="0"/>
        <w:bCs w:val="0"/>
        <w:i w:val="0"/>
        <w:iCs w:val="0"/>
        <w:w w:val="99"/>
        <w:sz w:val="24"/>
        <w:szCs w:val="24"/>
      </w:rPr>
    </w:lvl>
    <w:lvl w:ilvl="1">
      <w:numFmt w:val="bullet"/>
      <w:lvlText w:val="o"/>
      <w:lvlJc w:val="left"/>
      <w:pPr>
        <w:ind w:left="2499" w:hanging="360"/>
      </w:pPr>
      <w:rPr>
        <w:rFonts w:ascii="Courier New" w:hAnsi="Courier New" w:cs="Courier New"/>
        <w:b w:val="0"/>
        <w:bCs w:val="0"/>
        <w:i w:val="0"/>
        <w:iCs w:val="0"/>
        <w:w w:val="100"/>
        <w:sz w:val="24"/>
        <w:szCs w:val="24"/>
      </w:rPr>
    </w:lvl>
    <w:lvl w:ilvl="2">
      <w:numFmt w:val="bullet"/>
      <w:lvlText w:val="•"/>
      <w:lvlJc w:val="left"/>
      <w:pPr>
        <w:ind w:left="3345" w:hanging="360"/>
      </w:pPr>
    </w:lvl>
    <w:lvl w:ilvl="3">
      <w:numFmt w:val="bullet"/>
      <w:lvlText w:val="•"/>
      <w:lvlJc w:val="left"/>
      <w:pPr>
        <w:ind w:left="4190" w:hanging="360"/>
      </w:pPr>
    </w:lvl>
    <w:lvl w:ilvl="4">
      <w:numFmt w:val="bullet"/>
      <w:lvlText w:val="•"/>
      <w:lvlJc w:val="left"/>
      <w:pPr>
        <w:ind w:left="5035" w:hanging="360"/>
      </w:pPr>
    </w:lvl>
    <w:lvl w:ilvl="5">
      <w:numFmt w:val="bullet"/>
      <w:lvlText w:val="•"/>
      <w:lvlJc w:val="left"/>
      <w:pPr>
        <w:ind w:left="5880" w:hanging="360"/>
      </w:pPr>
    </w:lvl>
    <w:lvl w:ilvl="6">
      <w:numFmt w:val="bullet"/>
      <w:lvlText w:val="•"/>
      <w:lvlJc w:val="left"/>
      <w:pPr>
        <w:ind w:left="6725" w:hanging="360"/>
      </w:pPr>
    </w:lvl>
    <w:lvl w:ilvl="7">
      <w:numFmt w:val="bullet"/>
      <w:lvlText w:val="•"/>
      <w:lvlJc w:val="left"/>
      <w:pPr>
        <w:ind w:left="7570" w:hanging="360"/>
      </w:pPr>
    </w:lvl>
    <w:lvl w:ilvl="8">
      <w:numFmt w:val="bullet"/>
      <w:lvlText w:val="•"/>
      <w:lvlJc w:val="left"/>
      <w:pPr>
        <w:ind w:left="8416" w:hanging="360"/>
      </w:pPr>
    </w:lvl>
  </w:abstractNum>
  <w:abstractNum w:abstractNumId="11" w15:restartNumberingAfterBreak="0">
    <w:nsid w:val="0000040D"/>
    <w:multiLevelType w:val="multilevel"/>
    <w:tmpl w:val="00000890"/>
    <w:lvl w:ilvl="0">
      <w:start w:val="1"/>
      <w:numFmt w:val="decimal"/>
      <w:lvlText w:val="%1."/>
      <w:lvlJc w:val="left"/>
      <w:pPr>
        <w:ind w:left="619" w:hanging="360"/>
      </w:pPr>
      <w:rPr>
        <w:rFonts w:ascii="Calibri" w:hAnsi="Calibri" w:cs="Calibri"/>
        <w:b w:val="0"/>
        <w:bCs w:val="0"/>
        <w:i w:val="0"/>
        <w:iCs w:val="0"/>
        <w:w w:val="100"/>
        <w:sz w:val="24"/>
        <w:szCs w:val="24"/>
      </w:rPr>
    </w:lvl>
    <w:lvl w:ilvl="1">
      <w:numFmt w:val="bullet"/>
      <w:lvlText w:val="•"/>
      <w:lvlJc w:val="left"/>
      <w:pPr>
        <w:ind w:left="1055" w:hanging="360"/>
      </w:pPr>
    </w:lvl>
    <w:lvl w:ilvl="2">
      <w:numFmt w:val="bullet"/>
      <w:lvlText w:val="•"/>
      <w:lvlJc w:val="left"/>
      <w:pPr>
        <w:ind w:left="1490" w:hanging="360"/>
      </w:pPr>
    </w:lvl>
    <w:lvl w:ilvl="3">
      <w:numFmt w:val="bullet"/>
      <w:lvlText w:val="•"/>
      <w:lvlJc w:val="left"/>
      <w:pPr>
        <w:ind w:left="1925" w:hanging="360"/>
      </w:pPr>
    </w:lvl>
    <w:lvl w:ilvl="4">
      <w:numFmt w:val="bullet"/>
      <w:lvlText w:val="•"/>
      <w:lvlJc w:val="left"/>
      <w:pPr>
        <w:ind w:left="2361" w:hanging="360"/>
      </w:pPr>
    </w:lvl>
    <w:lvl w:ilvl="5">
      <w:numFmt w:val="bullet"/>
      <w:lvlText w:val="•"/>
      <w:lvlJc w:val="left"/>
      <w:pPr>
        <w:ind w:left="2796" w:hanging="360"/>
      </w:pPr>
    </w:lvl>
    <w:lvl w:ilvl="6">
      <w:numFmt w:val="bullet"/>
      <w:lvlText w:val="•"/>
      <w:lvlJc w:val="left"/>
      <w:pPr>
        <w:ind w:left="3231" w:hanging="360"/>
      </w:pPr>
    </w:lvl>
    <w:lvl w:ilvl="7">
      <w:numFmt w:val="bullet"/>
      <w:lvlText w:val="•"/>
      <w:lvlJc w:val="left"/>
      <w:pPr>
        <w:ind w:left="3667" w:hanging="360"/>
      </w:pPr>
    </w:lvl>
    <w:lvl w:ilvl="8">
      <w:numFmt w:val="bullet"/>
      <w:lvlText w:val="•"/>
      <w:lvlJc w:val="left"/>
      <w:pPr>
        <w:ind w:left="4102" w:hanging="360"/>
      </w:pPr>
    </w:lvl>
  </w:abstractNum>
  <w:abstractNum w:abstractNumId="12" w15:restartNumberingAfterBreak="0">
    <w:nsid w:val="02384F73"/>
    <w:multiLevelType w:val="hybridMultilevel"/>
    <w:tmpl w:val="78364616"/>
    <w:lvl w:ilvl="0" w:tplc="4FEC7168">
      <w:start w:val="1"/>
      <w:numFmt w:val="bullet"/>
      <w:lvlText w:val="•"/>
      <w:lvlJc w:val="left"/>
      <w:pPr>
        <w:tabs>
          <w:tab w:val="num" w:pos="720"/>
        </w:tabs>
        <w:ind w:left="720" w:hanging="360"/>
      </w:pPr>
      <w:rPr>
        <w:rFonts w:ascii="Arial" w:hAnsi="Arial" w:hint="default"/>
      </w:rPr>
    </w:lvl>
    <w:lvl w:ilvl="1" w:tplc="FD0EC626" w:tentative="1">
      <w:start w:val="1"/>
      <w:numFmt w:val="bullet"/>
      <w:lvlText w:val="•"/>
      <w:lvlJc w:val="left"/>
      <w:pPr>
        <w:tabs>
          <w:tab w:val="num" w:pos="1440"/>
        </w:tabs>
        <w:ind w:left="1440" w:hanging="360"/>
      </w:pPr>
      <w:rPr>
        <w:rFonts w:ascii="Arial" w:hAnsi="Arial" w:hint="default"/>
      </w:rPr>
    </w:lvl>
    <w:lvl w:ilvl="2" w:tplc="57408678" w:tentative="1">
      <w:start w:val="1"/>
      <w:numFmt w:val="bullet"/>
      <w:lvlText w:val="•"/>
      <w:lvlJc w:val="left"/>
      <w:pPr>
        <w:tabs>
          <w:tab w:val="num" w:pos="2160"/>
        </w:tabs>
        <w:ind w:left="2160" w:hanging="360"/>
      </w:pPr>
      <w:rPr>
        <w:rFonts w:ascii="Arial" w:hAnsi="Arial" w:hint="default"/>
      </w:rPr>
    </w:lvl>
    <w:lvl w:ilvl="3" w:tplc="0E401B40" w:tentative="1">
      <w:start w:val="1"/>
      <w:numFmt w:val="bullet"/>
      <w:lvlText w:val="•"/>
      <w:lvlJc w:val="left"/>
      <w:pPr>
        <w:tabs>
          <w:tab w:val="num" w:pos="2880"/>
        </w:tabs>
        <w:ind w:left="2880" w:hanging="360"/>
      </w:pPr>
      <w:rPr>
        <w:rFonts w:ascii="Arial" w:hAnsi="Arial" w:hint="default"/>
      </w:rPr>
    </w:lvl>
    <w:lvl w:ilvl="4" w:tplc="A7CCE50A" w:tentative="1">
      <w:start w:val="1"/>
      <w:numFmt w:val="bullet"/>
      <w:lvlText w:val="•"/>
      <w:lvlJc w:val="left"/>
      <w:pPr>
        <w:tabs>
          <w:tab w:val="num" w:pos="3600"/>
        </w:tabs>
        <w:ind w:left="3600" w:hanging="360"/>
      </w:pPr>
      <w:rPr>
        <w:rFonts w:ascii="Arial" w:hAnsi="Arial" w:hint="default"/>
      </w:rPr>
    </w:lvl>
    <w:lvl w:ilvl="5" w:tplc="4440D838" w:tentative="1">
      <w:start w:val="1"/>
      <w:numFmt w:val="bullet"/>
      <w:lvlText w:val="•"/>
      <w:lvlJc w:val="left"/>
      <w:pPr>
        <w:tabs>
          <w:tab w:val="num" w:pos="4320"/>
        </w:tabs>
        <w:ind w:left="4320" w:hanging="360"/>
      </w:pPr>
      <w:rPr>
        <w:rFonts w:ascii="Arial" w:hAnsi="Arial" w:hint="default"/>
      </w:rPr>
    </w:lvl>
    <w:lvl w:ilvl="6" w:tplc="5EC87F3C" w:tentative="1">
      <w:start w:val="1"/>
      <w:numFmt w:val="bullet"/>
      <w:lvlText w:val="•"/>
      <w:lvlJc w:val="left"/>
      <w:pPr>
        <w:tabs>
          <w:tab w:val="num" w:pos="5040"/>
        </w:tabs>
        <w:ind w:left="5040" w:hanging="360"/>
      </w:pPr>
      <w:rPr>
        <w:rFonts w:ascii="Arial" w:hAnsi="Arial" w:hint="default"/>
      </w:rPr>
    </w:lvl>
    <w:lvl w:ilvl="7" w:tplc="8398D71E" w:tentative="1">
      <w:start w:val="1"/>
      <w:numFmt w:val="bullet"/>
      <w:lvlText w:val="•"/>
      <w:lvlJc w:val="left"/>
      <w:pPr>
        <w:tabs>
          <w:tab w:val="num" w:pos="5760"/>
        </w:tabs>
        <w:ind w:left="5760" w:hanging="360"/>
      </w:pPr>
      <w:rPr>
        <w:rFonts w:ascii="Arial" w:hAnsi="Arial" w:hint="default"/>
      </w:rPr>
    </w:lvl>
    <w:lvl w:ilvl="8" w:tplc="5B50662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31B43B4"/>
    <w:multiLevelType w:val="hybridMultilevel"/>
    <w:tmpl w:val="06C2944A"/>
    <w:lvl w:ilvl="0" w:tplc="FC54D8B2">
      <w:start w:val="1"/>
      <w:numFmt w:val="lowerLetter"/>
      <w:lvlText w:val="%1."/>
      <w:lvlJc w:val="left"/>
      <w:pPr>
        <w:ind w:left="720" w:hanging="360"/>
      </w:pPr>
      <w:rPr>
        <w:rFonts w:ascii="Calibri" w:hAnsi="Calibri" w:cs="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824F29"/>
    <w:multiLevelType w:val="multilevel"/>
    <w:tmpl w:val="61C8C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4001BCE"/>
    <w:multiLevelType w:val="hybridMultilevel"/>
    <w:tmpl w:val="00B22368"/>
    <w:lvl w:ilvl="0" w:tplc="16949936">
      <w:start w:val="1"/>
      <w:numFmt w:val="bullet"/>
      <w:lvlText w:val="•"/>
      <w:lvlJc w:val="left"/>
      <w:pPr>
        <w:ind w:left="1080" w:hanging="360"/>
      </w:pPr>
      <w:rPr>
        <w:rFonts w:ascii="Calibri" w:hAnsi="Calibri" w:hint="default"/>
        <w:b/>
      </w:rPr>
    </w:lvl>
    <w:lvl w:ilvl="1" w:tplc="2432E9F2" w:tentative="1">
      <w:start w:val="1"/>
      <w:numFmt w:val="bullet"/>
      <w:lvlText w:val="o"/>
      <w:lvlJc w:val="left"/>
      <w:pPr>
        <w:ind w:left="1800" w:hanging="360"/>
      </w:pPr>
      <w:rPr>
        <w:rFonts w:ascii="Courier New" w:hAnsi="Courier New" w:cs="Courier New" w:hint="default"/>
      </w:rPr>
    </w:lvl>
    <w:lvl w:ilvl="2" w:tplc="78443F30" w:tentative="1">
      <w:start w:val="1"/>
      <w:numFmt w:val="bullet"/>
      <w:lvlText w:val=""/>
      <w:lvlJc w:val="left"/>
      <w:pPr>
        <w:ind w:left="2520" w:hanging="360"/>
      </w:pPr>
      <w:rPr>
        <w:rFonts w:ascii="Wingdings" w:hAnsi="Wingdings" w:hint="default"/>
      </w:rPr>
    </w:lvl>
    <w:lvl w:ilvl="3" w:tplc="98C0A13E" w:tentative="1">
      <w:start w:val="1"/>
      <w:numFmt w:val="bullet"/>
      <w:lvlText w:val=""/>
      <w:lvlJc w:val="left"/>
      <w:pPr>
        <w:ind w:left="3240" w:hanging="360"/>
      </w:pPr>
      <w:rPr>
        <w:rFonts w:ascii="Symbol" w:hAnsi="Symbol" w:hint="default"/>
      </w:rPr>
    </w:lvl>
    <w:lvl w:ilvl="4" w:tplc="6442C7A6" w:tentative="1">
      <w:start w:val="1"/>
      <w:numFmt w:val="bullet"/>
      <w:lvlText w:val="o"/>
      <w:lvlJc w:val="left"/>
      <w:pPr>
        <w:ind w:left="3960" w:hanging="360"/>
      </w:pPr>
      <w:rPr>
        <w:rFonts w:ascii="Courier New" w:hAnsi="Courier New" w:cs="Courier New" w:hint="default"/>
      </w:rPr>
    </w:lvl>
    <w:lvl w:ilvl="5" w:tplc="B3AC61A2" w:tentative="1">
      <w:start w:val="1"/>
      <w:numFmt w:val="bullet"/>
      <w:lvlText w:val=""/>
      <w:lvlJc w:val="left"/>
      <w:pPr>
        <w:ind w:left="4680" w:hanging="360"/>
      </w:pPr>
      <w:rPr>
        <w:rFonts w:ascii="Wingdings" w:hAnsi="Wingdings" w:hint="default"/>
      </w:rPr>
    </w:lvl>
    <w:lvl w:ilvl="6" w:tplc="D7FC6D4C" w:tentative="1">
      <w:start w:val="1"/>
      <w:numFmt w:val="bullet"/>
      <w:lvlText w:val=""/>
      <w:lvlJc w:val="left"/>
      <w:pPr>
        <w:ind w:left="5400" w:hanging="360"/>
      </w:pPr>
      <w:rPr>
        <w:rFonts w:ascii="Symbol" w:hAnsi="Symbol" w:hint="default"/>
      </w:rPr>
    </w:lvl>
    <w:lvl w:ilvl="7" w:tplc="93F47ECE" w:tentative="1">
      <w:start w:val="1"/>
      <w:numFmt w:val="bullet"/>
      <w:lvlText w:val="o"/>
      <w:lvlJc w:val="left"/>
      <w:pPr>
        <w:ind w:left="6120" w:hanging="360"/>
      </w:pPr>
      <w:rPr>
        <w:rFonts w:ascii="Courier New" w:hAnsi="Courier New" w:cs="Courier New" w:hint="default"/>
      </w:rPr>
    </w:lvl>
    <w:lvl w:ilvl="8" w:tplc="40A0BEB2" w:tentative="1">
      <w:start w:val="1"/>
      <w:numFmt w:val="bullet"/>
      <w:lvlText w:val=""/>
      <w:lvlJc w:val="left"/>
      <w:pPr>
        <w:ind w:left="6840" w:hanging="360"/>
      </w:pPr>
      <w:rPr>
        <w:rFonts w:ascii="Wingdings" w:hAnsi="Wingdings" w:hint="default"/>
      </w:rPr>
    </w:lvl>
  </w:abstractNum>
  <w:abstractNum w:abstractNumId="16" w15:restartNumberingAfterBreak="0">
    <w:nsid w:val="05541783"/>
    <w:multiLevelType w:val="hybridMultilevel"/>
    <w:tmpl w:val="874E5F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06D704EE"/>
    <w:multiLevelType w:val="hybridMultilevel"/>
    <w:tmpl w:val="BFA22910"/>
    <w:lvl w:ilvl="0" w:tplc="9C62F208">
      <w:start w:val="1"/>
      <w:numFmt w:val="bullet"/>
      <w:lvlText w:val="•"/>
      <w:lvlJc w:val="left"/>
      <w:pPr>
        <w:tabs>
          <w:tab w:val="num" w:pos="720"/>
        </w:tabs>
        <w:ind w:left="720" w:hanging="360"/>
      </w:pPr>
      <w:rPr>
        <w:rFonts w:ascii="Arial" w:hAnsi="Arial" w:hint="default"/>
      </w:rPr>
    </w:lvl>
    <w:lvl w:ilvl="1" w:tplc="A71C65A4" w:tentative="1">
      <w:start w:val="1"/>
      <w:numFmt w:val="bullet"/>
      <w:lvlText w:val="•"/>
      <w:lvlJc w:val="left"/>
      <w:pPr>
        <w:tabs>
          <w:tab w:val="num" w:pos="1440"/>
        </w:tabs>
        <w:ind w:left="1440" w:hanging="360"/>
      </w:pPr>
      <w:rPr>
        <w:rFonts w:ascii="Arial" w:hAnsi="Arial" w:hint="default"/>
      </w:rPr>
    </w:lvl>
    <w:lvl w:ilvl="2" w:tplc="9AF2C97A" w:tentative="1">
      <w:start w:val="1"/>
      <w:numFmt w:val="bullet"/>
      <w:lvlText w:val="•"/>
      <w:lvlJc w:val="left"/>
      <w:pPr>
        <w:tabs>
          <w:tab w:val="num" w:pos="2160"/>
        </w:tabs>
        <w:ind w:left="2160" w:hanging="360"/>
      </w:pPr>
      <w:rPr>
        <w:rFonts w:ascii="Arial" w:hAnsi="Arial" w:hint="default"/>
      </w:rPr>
    </w:lvl>
    <w:lvl w:ilvl="3" w:tplc="E534AB4A" w:tentative="1">
      <w:start w:val="1"/>
      <w:numFmt w:val="bullet"/>
      <w:lvlText w:val="•"/>
      <w:lvlJc w:val="left"/>
      <w:pPr>
        <w:tabs>
          <w:tab w:val="num" w:pos="2880"/>
        </w:tabs>
        <w:ind w:left="2880" w:hanging="360"/>
      </w:pPr>
      <w:rPr>
        <w:rFonts w:ascii="Arial" w:hAnsi="Arial" w:hint="default"/>
      </w:rPr>
    </w:lvl>
    <w:lvl w:ilvl="4" w:tplc="C82CFB42" w:tentative="1">
      <w:start w:val="1"/>
      <w:numFmt w:val="bullet"/>
      <w:lvlText w:val="•"/>
      <w:lvlJc w:val="left"/>
      <w:pPr>
        <w:tabs>
          <w:tab w:val="num" w:pos="3600"/>
        </w:tabs>
        <w:ind w:left="3600" w:hanging="360"/>
      </w:pPr>
      <w:rPr>
        <w:rFonts w:ascii="Arial" w:hAnsi="Arial" w:hint="default"/>
      </w:rPr>
    </w:lvl>
    <w:lvl w:ilvl="5" w:tplc="B25AAD9C" w:tentative="1">
      <w:start w:val="1"/>
      <w:numFmt w:val="bullet"/>
      <w:lvlText w:val="•"/>
      <w:lvlJc w:val="left"/>
      <w:pPr>
        <w:tabs>
          <w:tab w:val="num" w:pos="4320"/>
        </w:tabs>
        <w:ind w:left="4320" w:hanging="360"/>
      </w:pPr>
      <w:rPr>
        <w:rFonts w:ascii="Arial" w:hAnsi="Arial" w:hint="default"/>
      </w:rPr>
    </w:lvl>
    <w:lvl w:ilvl="6" w:tplc="D04C9C78" w:tentative="1">
      <w:start w:val="1"/>
      <w:numFmt w:val="bullet"/>
      <w:lvlText w:val="•"/>
      <w:lvlJc w:val="left"/>
      <w:pPr>
        <w:tabs>
          <w:tab w:val="num" w:pos="5040"/>
        </w:tabs>
        <w:ind w:left="5040" w:hanging="360"/>
      </w:pPr>
      <w:rPr>
        <w:rFonts w:ascii="Arial" w:hAnsi="Arial" w:hint="default"/>
      </w:rPr>
    </w:lvl>
    <w:lvl w:ilvl="7" w:tplc="1604034E" w:tentative="1">
      <w:start w:val="1"/>
      <w:numFmt w:val="bullet"/>
      <w:lvlText w:val="•"/>
      <w:lvlJc w:val="left"/>
      <w:pPr>
        <w:tabs>
          <w:tab w:val="num" w:pos="5760"/>
        </w:tabs>
        <w:ind w:left="5760" w:hanging="360"/>
      </w:pPr>
      <w:rPr>
        <w:rFonts w:ascii="Arial" w:hAnsi="Arial" w:hint="default"/>
      </w:rPr>
    </w:lvl>
    <w:lvl w:ilvl="8" w:tplc="3CFE3F4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8A546F1"/>
    <w:multiLevelType w:val="hybridMultilevel"/>
    <w:tmpl w:val="6E1ECE5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AB16527"/>
    <w:multiLevelType w:val="hybridMultilevel"/>
    <w:tmpl w:val="84D2F960"/>
    <w:lvl w:ilvl="0" w:tplc="801C29AE">
      <w:start w:val="7"/>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CA12EB1"/>
    <w:multiLevelType w:val="hybridMultilevel"/>
    <w:tmpl w:val="D57C9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2E179D"/>
    <w:multiLevelType w:val="hybridMultilevel"/>
    <w:tmpl w:val="26002A44"/>
    <w:lvl w:ilvl="0" w:tplc="CE261B9E">
      <w:start w:val="1"/>
      <w:numFmt w:val="decimal"/>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125E635C"/>
    <w:multiLevelType w:val="hybridMultilevel"/>
    <w:tmpl w:val="1C86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9332B7"/>
    <w:multiLevelType w:val="hybridMultilevel"/>
    <w:tmpl w:val="EB582F6E"/>
    <w:lvl w:ilvl="0" w:tplc="FC54D8B2">
      <w:start w:val="1"/>
      <w:numFmt w:val="lowerLetter"/>
      <w:lvlText w:val="%1."/>
      <w:lvlJc w:val="left"/>
      <w:pPr>
        <w:ind w:left="959" w:hanging="360"/>
      </w:pPr>
      <w:rPr>
        <w:rFonts w:ascii="Calibri" w:hAnsi="Calibri" w:cs="Calibri" w:hint="default"/>
        <w:sz w:val="24"/>
        <w:szCs w:val="24"/>
      </w:rPr>
    </w:lvl>
    <w:lvl w:ilvl="1" w:tplc="04090019" w:tentative="1">
      <w:start w:val="1"/>
      <w:numFmt w:val="lowerLetter"/>
      <w:lvlText w:val="%2."/>
      <w:lvlJc w:val="left"/>
      <w:pPr>
        <w:ind w:left="1679" w:hanging="360"/>
      </w:pPr>
    </w:lvl>
    <w:lvl w:ilvl="2" w:tplc="0409001B" w:tentative="1">
      <w:start w:val="1"/>
      <w:numFmt w:val="lowerRoman"/>
      <w:lvlText w:val="%3."/>
      <w:lvlJc w:val="right"/>
      <w:pPr>
        <w:ind w:left="2399" w:hanging="180"/>
      </w:pPr>
    </w:lvl>
    <w:lvl w:ilvl="3" w:tplc="0409000F" w:tentative="1">
      <w:start w:val="1"/>
      <w:numFmt w:val="decimal"/>
      <w:lvlText w:val="%4."/>
      <w:lvlJc w:val="left"/>
      <w:pPr>
        <w:ind w:left="3119" w:hanging="360"/>
      </w:pPr>
    </w:lvl>
    <w:lvl w:ilvl="4" w:tplc="04090019" w:tentative="1">
      <w:start w:val="1"/>
      <w:numFmt w:val="lowerLetter"/>
      <w:lvlText w:val="%5."/>
      <w:lvlJc w:val="left"/>
      <w:pPr>
        <w:ind w:left="3839" w:hanging="360"/>
      </w:pPr>
    </w:lvl>
    <w:lvl w:ilvl="5" w:tplc="0409001B" w:tentative="1">
      <w:start w:val="1"/>
      <w:numFmt w:val="lowerRoman"/>
      <w:lvlText w:val="%6."/>
      <w:lvlJc w:val="right"/>
      <w:pPr>
        <w:ind w:left="4559" w:hanging="180"/>
      </w:pPr>
    </w:lvl>
    <w:lvl w:ilvl="6" w:tplc="0409000F" w:tentative="1">
      <w:start w:val="1"/>
      <w:numFmt w:val="decimal"/>
      <w:lvlText w:val="%7."/>
      <w:lvlJc w:val="left"/>
      <w:pPr>
        <w:ind w:left="5279" w:hanging="360"/>
      </w:pPr>
    </w:lvl>
    <w:lvl w:ilvl="7" w:tplc="04090019" w:tentative="1">
      <w:start w:val="1"/>
      <w:numFmt w:val="lowerLetter"/>
      <w:lvlText w:val="%8."/>
      <w:lvlJc w:val="left"/>
      <w:pPr>
        <w:ind w:left="5999" w:hanging="360"/>
      </w:pPr>
    </w:lvl>
    <w:lvl w:ilvl="8" w:tplc="0409001B" w:tentative="1">
      <w:start w:val="1"/>
      <w:numFmt w:val="lowerRoman"/>
      <w:lvlText w:val="%9."/>
      <w:lvlJc w:val="right"/>
      <w:pPr>
        <w:ind w:left="6719" w:hanging="180"/>
      </w:pPr>
    </w:lvl>
  </w:abstractNum>
  <w:abstractNum w:abstractNumId="24" w15:restartNumberingAfterBreak="0">
    <w:nsid w:val="131B192E"/>
    <w:multiLevelType w:val="hybridMultilevel"/>
    <w:tmpl w:val="6A5269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1455388B"/>
    <w:multiLevelType w:val="hybridMultilevel"/>
    <w:tmpl w:val="FD88D3F4"/>
    <w:lvl w:ilvl="0" w:tplc="FC54D8B2">
      <w:start w:val="1"/>
      <w:numFmt w:val="lowerLetter"/>
      <w:lvlText w:val="%1."/>
      <w:lvlJc w:val="left"/>
      <w:pPr>
        <w:ind w:left="720" w:hanging="360"/>
      </w:pPr>
      <w:rPr>
        <w:rFonts w:ascii="Calibri" w:hAnsi="Calibri" w:cs="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7734C87"/>
    <w:multiLevelType w:val="hybridMultilevel"/>
    <w:tmpl w:val="3856A3BA"/>
    <w:lvl w:ilvl="0" w:tplc="A95241B4">
      <w:start w:val="1"/>
      <w:numFmt w:val="lowerLetter"/>
      <w:lvlText w:val="%1."/>
      <w:lvlJc w:val="left"/>
      <w:pPr>
        <w:ind w:left="994" w:hanging="360"/>
      </w:pPr>
      <w:rPr>
        <w:b w:val="0"/>
        <w:bCs w:val="0"/>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27" w15:restartNumberingAfterBreak="0">
    <w:nsid w:val="179F6730"/>
    <w:multiLevelType w:val="hybridMultilevel"/>
    <w:tmpl w:val="F4506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8DD1E6C"/>
    <w:multiLevelType w:val="hybridMultilevel"/>
    <w:tmpl w:val="48BA5C1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1D3A6CAA"/>
    <w:multiLevelType w:val="hybridMultilevel"/>
    <w:tmpl w:val="1504C176"/>
    <w:lvl w:ilvl="0" w:tplc="FFFFFFFF">
      <w:start w:val="1"/>
      <w:numFmt w:val="decimal"/>
      <w:lvlText w:val="%1."/>
      <w:lvlJc w:val="left"/>
      <w:pPr>
        <w:ind w:left="360" w:hanging="360"/>
      </w:pPr>
      <w:rPr>
        <w:b w:val="0"/>
        <w:bCs w:val="0"/>
        <w:sz w:val="24"/>
        <w:szCs w:val="24"/>
      </w:rPr>
    </w:lvl>
    <w:lvl w:ilvl="1" w:tplc="B742073E">
      <w:start w:val="1"/>
      <w:numFmt w:val="lowerLetter"/>
      <w:lvlText w:val="%2."/>
      <w:lvlJc w:val="left"/>
      <w:pPr>
        <w:ind w:left="1170" w:hanging="360"/>
      </w:pPr>
    </w:lvl>
    <w:lvl w:ilvl="2" w:tplc="42866DB0">
      <w:start w:val="1"/>
      <w:numFmt w:val="lowerRoman"/>
      <w:lvlText w:val="%3."/>
      <w:lvlJc w:val="right"/>
      <w:pPr>
        <w:ind w:left="1890" w:hanging="180"/>
      </w:pPr>
    </w:lvl>
    <w:lvl w:ilvl="3" w:tplc="986841B8" w:tentative="1">
      <w:start w:val="1"/>
      <w:numFmt w:val="decimal"/>
      <w:lvlText w:val="%4."/>
      <w:lvlJc w:val="left"/>
      <w:pPr>
        <w:ind w:left="2610" w:hanging="360"/>
      </w:pPr>
    </w:lvl>
    <w:lvl w:ilvl="4" w:tplc="9D680D72" w:tentative="1">
      <w:start w:val="1"/>
      <w:numFmt w:val="lowerLetter"/>
      <w:lvlText w:val="%5."/>
      <w:lvlJc w:val="left"/>
      <w:pPr>
        <w:ind w:left="3330" w:hanging="360"/>
      </w:pPr>
    </w:lvl>
    <w:lvl w:ilvl="5" w:tplc="17AC727E" w:tentative="1">
      <w:start w:val="1"/>
      <w:numFmt w:val="lowerRoman"/>
      <w:lvlText w:val="%6."/>
      <w:lvlJc w:val="right"/>
      <w:pPr>
        <w:ind w:left="4050" w:hanging="180"/>
      </w:pPr>
    </w:lvl>
    <w:lvl w:ilvl="6" w:tplc="EABE01C0" w:tentative="1">
      <w:start w:val="1"/>
      <w:numFmt w:val="decimal"/>
      <w:lvlText w:val="%7."/>
      <w:lvlJc w:val="left"/>
      <w:pPr>
        <w:ind w:left="4770" w:hanging="360"/>
      </w:pPr>
    </w:lvl>
    <w:lvl w:ilvl="7" w:tplc="59EC4448" w:tentative="1">
      <w:start w:val="1"/>
      <w:numFmt w:val="lowerLetter"/>
      <w:lvlText w:val="%8."/>
      <w:lvlJc w:val="left"/>
      <w:pPr>
        <w:ind w:left="5490" w:hanging="360"/>
      </w:pPr>
    </w:lvl>
    <w:lvl w:ilvl="8" w:tplc="08366534" w:tentative="1">
      <w:start w:val="1"/>
      <w:numFmt w:val="lowerRoman"/>
      <w:lvlText w:val="%9."/>
      <w:lvlJc w:val="right"/>
      <w:pPr>
        <w:ind w:left="6210" w:hanging="180"/>
      </w:pPr>
    </w:lvl>
  </w:abstractNum>
  <w:abstractNum w:abstractNumId="30" w15:restartNumberingAfterBreak="0">
    <w:nsid w:val="1FD149E3"/>
    <w:multiLevelType w:val="hybridMultilevel"/>
    <w:tmpl w:val="EB72F77C"/>
    <w:lvl w:ilvl="0" w:tplc="0FF21BBC">
      <w:start w:val="1"/>
      <w:numFmt w:val="decimal"/>
      <w:lvlText w:val="%1."/>
      <w:lvlJc w:val="left"/>
      <w:pPr>
        <w:ind w:left="450" w:hanging="360"/>
      </w:pPr>
      <w:rPr>
        <w:b w:val="0"/>
        <w:bCs w:val="0"/>
      </w:rPr>
    </w:lvl>
    <w:lvl w:ilvl="1" w:tplc="F5427010">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02261FB"/>
    <w:multiLevelType w:val="hybridMultilevel"/>
    <w:tmpl w:val="6D749ADA"/>
    <w:lvl w:ilvl="0" w:tplc="04090001">
      <w:start w:val="1"/>
      <w:numFmt w:val="bullet"/>
      <w:lvlText w:val=""/>
      <w:lvlJc w:val="left"/>
      <w:pPr>
        <w:ind w:left="1679" w:hanging="360"/>
      </w:pPr>
      <w:rPr>
        <w:rFonts w:ascii="Symbol" w:hAnsi="Symbol" w:hint="default"/>
      </w:rPr>
    </w:lvl>
    <w:lvl w:ilvl="1" w:tplc="04090003" w:tentative="1">
      <w:start w:val="1"/>
      <w:numFmt w:val="bullet"/>
      <w:lvlText w:val="o"/>
      <w:lvlJc w:val="left"/>
      <w:pPr>
        <w:ind w:left="2399" w:hanging="360"/>
      </w:pPr>
      <w:rPr>
        <w:rFonts w:ascii="Courier New" w:hAnsi="Courier New" w:cs="Courier New" w:hint="default"/>
      </w:rPr>
    </w:lvl>
    <w:lvl w:ilvl="2" w:tplc="04090005" w:tentative="1">
      <w:start w:val="1"/>
      <w:numFmt w:val="bullet"/>
      <w:lvlText w:val=""/>
      <w:lvlJc w:val="left"/>
      <w:pPr>
        <w:ind w:left="3119" w:hanging="360"/>
      </w:pPr>
      <w:rPr>
        <w:rFonts w:ascii="Wingdings" w:hAnsi="Wingdings" w:hint="default"/>
      </w:rPr>
    </w:lvl>
    <w:lvl w:ilvl="3" w:tplc="04090001" w:tentative="1">
      <w:start w:val="1"/>
      <w:numFmt w:val="bullet"/>
      <w:lvlText w:val=""/>
      <w:lvlJc w:val="left"/>
      <w:pPr>
        <w:ind w:left="3839" w:hanging="360"/>
      </w:pPr>
      <w:rPr>
        <w:rFonts w:ascii="Symbol" w:hAnsi="Symbol" w:hint="default"/>
      </w:rPr>
    </w:lvl>
    <w:lvl w:ilvl="4" w:tplc="04090003" w:tentative="1">
      <w:start w:val="1"/>
      <w:numFmt w:val="bullet"/>
      <w:lvlText w:val="o"/>
      <w:lvlJc w:val="left"/>
      <w:pPr>
        <w:ind w:left="4559" w:hanging="360"/>
      </w:pPr>
      <w:rPr>
        <w:rFonts w:ascii="Courier New" w:hAnsi="Courier New" w:cs="Courier New" w:hint="default"/>
      </w:rPr>
    </w:lvl>
    <w:lvl w:ilvl="5" w:tplc="04090005" w:tentative="1">
      <w:start w:val="1"/>
      <w:numFmt w:val="bullet"/>
      <w:lvlText w:val=""/>
      <w:lvlJc w:val="left"/>
      <w:pPr>
        <w:ind w:left="5279" w:hanging="360"/>
      </w:pPr>
      <w:rPr>
        <w:rFonts w:ascii="Wingdings" w:hAnsi="Wingdings" w:hint="default"/>
      </w:rPr>
    </w:lvl>
    <w:lvl w:ilvl="6" w:tplc="04090001" w:tentative="1">
      <w:start w:val="1"/>
      <w:numFmt w:val="bullet"/>
      <w:lvlText w:val=""/>
      <w:lvlJc w:val="left"/>
      <w:pPr>
        <w:ind w:left="5999" w:hanging="360"/>
      </w:pPr>
      <w:rPr>
        <w:rFonts w:ascii="Symbol" w:hAnsi="Symbol" w:hint="default"/>
      </w:rPr>
    </w:lvl>
    <w:lvl w:ilvl="7" w:tplc="04090003" w:tentative="1">
      <w:start w:val="1"/>
      <w:numFmt w:val="bullet"/>
      <w:lvlText w:val="o"/>
      <w:lvlJc w:val="left"/>
      <w:pPr>
        <w:ind w:left="6719" w:hanging="360"/>
      </w:pPr>
      <w:rPr>
        <w:rFonts w:ascii="Courier New" w:hAnsi="Courier New" w:cs="Courier New" w:hint="default"/>
      </w:rPr>
    </w:lvl>
    <w:lvl w:ilvl="8" w:tplc="04090005" w:tentative="1">
      <w:start w:val="1"/>
      <w:numFmt w:val="bullet"/>
      <w:lvlText w:val=""/>
      <w:lvlJc w:val="left"/>
      <w:pPr>
        <w:ind w:left="7439" w:hanging="360"/>
      </w:pPr>
      <w:rPr>
        <w:rFonts w:ascii="Wingdings" w:hAnsi="Wingdings" w:hint="default"/>
      </w:rPr>
    </w:lvl>
  </w:abstractNum>
  <w:abstractNum w:abstractNumId="32" w15:restartNumberingAfterBreak="0">
    <w:nsid w:val="20230857"/>
    <w:multiLevelType w:val="hybridMultilevel"/>
    <w:tmpl w:val="202CB9A2"/>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3" w15:restartNumberingAfterBreak="0">
    <w:nsid w:val="20F3442F"/>
    <w:multiLevelType w:val="hybridMultilevel"/>
    <w:tmpl w:val="F9B0777E"/>
    <w:lvl w:ilvl="0" w:tplc="30626644">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840100"/>
    <w:multiLevelType w:val="hybridMultilevel"/>
    <w:tmpl w:val="2388A2C6"/>
    <w:lvl w:ilvl="0" w:tplc="E916A4EC">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1921F4F"/>
    <w:multiLevelType w:val="hybridMultilevel"/>
    <w:tmpl w:val="C08E8B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251C4BF9"/>
    <w:multiLevelType w:val="hybridMultilevel"/>
    <w:tmpl w:val="F6165D38"/>
    <w:lvl w:ilvl="0" w:tplc="1308593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6204F7C"/>
    <w:multiLevelType w:val="hybridMultilevel"/>
    <w:tmpl w:val="59C2E93A"/>
    <w:lvl w:ilvl="0" w:tplc="FC54D8B2">
      <w:start w:val="1"/>
      <w:numFmt w:val="lowerLetter"/>
      <w:lvlText w:val="%1."/>
      <w:lvlJc w:val="left"/>
      <w:pPr>
        <w:ind w:left="994" w:hanging="360"/>
      </w:pPr>
      <w:rPr>
        <w:rFonts w:ascii="Calibri" w:hAnsi="Calibri" w:cs="Calibri" w:hint="default"/>
        <w:sz w:val="24"/>
        <w:szCs w:val="24"/>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38" w15:restartNumberingAfterBreak="0">
    <w:nsid w:val="275E73F9"/>
    <w:multiLevelType w:val="hybridMultilevel"/>
    <w:tmpl w:val="E1F4DC76"/>
    <w:lvl w:ilvl="0" w:tplc="FC54D8B2">
      <w:start w:val="1"/>
      <w:numFmt w:val="lowerLetter"/>
      <w:lvlText w:val="%1."/>
      <w:lvlJc w:val="left"/>
      <w:pPr>
        <w:ind w:left="2070" w:hanging="360"/>
      </w:pPr>
      <w:rPr>
        <w:rFonts w:ascii="Calibri" w:hAnsi="Calibri" w:cs="Calibri" w:hint="default"/>
        <w:sz w:val="24"/>
        <w:szCs w:val="24"/>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9" w15:restartNumberingAfterBreak="0">
    <w:nsid w:val="28335AF7"/>
    <w:multiLevelType w:val="hybridMultilevel"/>
    <w:tmpl w:val="0E3A4E00"/>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0" w15:restartNumberingAfterBreak="0">
    <w:nsid w:val="28AB69AA"/>
    <w:multiLevelType w:val="hybridMultilevel"/>
    <w:tmpl w:val="C63EEED4"/>
    <w:lvl w:ilvl="0" w:tplc="EC08B5F8">
      <w:start w:val="1"/>
      <w:numFmt w:val="bullet"/>
      <w:lvlText w:val="•"/>
      <w:lvlJc w:val="left"/>
      <w:pPr>
        <w:tabs>
          <w:tab w:val="num" w:pos="720"/>
        </w:tabs>
        <w:ind w:left="720" w:hanging="360"/>
      </w:pPr>
      <w:rPr>
        <w:rFonts w:ascii="Arial" w:hAnsi="Arial" w:hint="default"/>
      </w:rPr>
    </w:lvl>
    <w:lvl w:ilvl="1" w:tplc="6F466778" w:tentative="1">
      <w:start w:val="1"/>
      <w:numFmt w:val="bullet"/>
      <w:lvlText w:val="•"/>
      <w:lvlJc w:val="left"/>
      <w:pPr>
        <w:tabs>
          <w:tab w:val="num" w:pos="1440"/>
        </w:tabs>
        <w:ind w:left="1440" w:hanging="360"/>
      </w:pPr>
      <w:rPr>
        <w:rFonts w:ascii="Arial" w:hAnsi="Arial" w:hint="default"/>
      </w:rPr>
    </w:lvl>
    <w:lvl w:ilvl="2" w:tplc="C9925BB2" w:tentative="1">
      <w:start w:val="1"/>
      <w:numFmt w:val="bullet"/>
      <w:lvlText w:val="•"/>
      <w:lvlJc w:val="left"/>
      <w:pPr>
        <w:tabs>
          <w:tab w:val="num" w:pos="2160"/>
        </w:tabs>
        <w:ind w:left="2160" w:hanging="360"/>
      </w:pPr>
      <w:rPr>
        <w:rFonts w:ascii="Arial" w:hAnsi="Arial" w:hint="default"/>
      </w:rPr>
    </w:lvl>
    <w:lvl w:ilvl="3" w:tplc="1D302D14" w:tentative="1">
      <w:start w:val="1"/>
      <w:numFmt w:val="bullet"/>
      <w:lvlText w:val="•"/>
      <w:lvlJc w:val="left"/>
      <w:pPr>
        <w:tabs>
          <w:tab w:val="num" w:pos="2880"/>
        </w:tabs>
        <w:ind w:left="2880" w:hanging="360"/>
      </w:pPr>
      <w:rPr>
        <w:rFonts w:ascii="Arial" w:hAnsi="Arial" w:hint="default"/>
      </w:rPr>
    </w:lvl>
    <w:lvl w:ilvl="4" w:tplc="AE82361E" w:tentative="1">
      <w:start w:val="1"/>
      <w:numFmt w:val="bullet"/>
      <w:lvlText w:val="•"/>
      <w:lvlJc w:val="left"/>
      <w:pPr>
        <w:tabs>
          <w:tab w:val="num" w:pos="3600"/>
        </w:tabs>
        <w:ind w:left="3600" w:hanging="360"/>
      </w:pPr>
      <w:rPr>
        <w:rFonts w:ascii="Arial" w:hAnsi="Arial" w:hint="default"/>
      </w:rPr>
    </w:lvl>
    <w:lvl w:ilvl="5" w:tplc="A70E2EAE" w:tentative="1">
      <w:start w:val="1"/>
      <w:numFmt w:val="bullet"/>
      <w:lvlText w:val="•"/>
      <w:lvlJc w:val="left"/>
      <w:pPr>
        <w:tabs>
          <w:tab w:val="num" w:pos="4320"/>
        </w:tabs>
        <w:ind w:left="4320" w:hanging="360"/>
      </w:pPr>
      <w:rPr>
        <w:rFonts w:ascii="Arial" w:hAnsi="Arial" w:hint="default"/>
      </w:rPr>
    </w:lvl>
    <w:lvl w:ilvl="6" w:tplc="0E88E1E4" w:tentative="1">
      <w:start w:val="1"/>
      <w:numFmt w:val="bullet"/>
      <w:lvlText w:val="•"/>
      <w:lvlJc w:val="left"/>
      <w:pPr>
        <w:tabs>
          <w:tab w:val="num" w:pos="5040"/>
        </w:tabs>
        <w:ind w:left="5040" w:hanging="360"/>
      </w:pPr>
      <w:rPr>
        <w:rFonts w:ascii="Arial" w:hAnsi="Arial" w:hint="default"/>
      </w:rPr>
    </w:lvl>
    <w:lvl w:ilvl="7" w:tplc="A000A3D4" w:tentative="1">
      <w:start w:val="1"/>
      <w:numFmt w:val="bullet"/>
      <w:lvlText w:val="•"/>
      <w:lvlJc w:val="left"/>
      <w:pPr>
        <w:tabs>
          <w:tab w:val="num" w:pos="5760"/>
        </w:tabs>
        <w:ind w:left="5760" w:hanging="360"/>
      </w:pPr>
      <w:rPr>
        <w:rFonts w:ascii="Arial" w:hAnsi="Arial" w:hint="default"/>
      </w:rPr>
    </w:lvl>
    <w:lvl w:ilvl="8" w:tplc="8042CE0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29531588"/>
    <w:multiLevelType w:val="hybridMultilevel"/>
    <w:tmpl w:val="75107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A8C75A1"/>
    <w:multiLevelType w:val="hybridMultilevel"/>
    <w:tmpl w:val="D26645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2B9A6A95"/>
    <w:multiLevelType w:val="hybridMultilevel"/>
    <w:tmpl w:val="7508298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2D67142E"/>
    <w:multiLevelType w:val="hybridMultilevel"/>
    <w:tmpl w:val="55CE57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D8A30A2"/>
    <w:multiLevelType w:val="hybridMultilevel"/>
    <w:tmpl w:val="F44211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DBD7239"/>
    <w:multiLevelType w:val="hybridMultilevel"/>
    <w:tmpl w:val="71541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F336322"/>
    <w:multiLevelType w:val="hybridMultilevel"/>
    <w:tmpl w:val="D84A2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F4F2558"/>
    <w:multiLevelType w:val="hybridMultilevel"/>
    <w:tmpl w:val="94A055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08E73BE"/>
    <w:multiLevelType w:val="hybridMultilevel"/>
    <w:tmpl w:val="FC68DF9A"/>
    <w:lvl w:ilvl="0" w:tplc="FC54D8B2">
      <w:start w:val="1"/>
      <w:numFmt w:val="lowerLetter"/>
      <w:lvlText w:val="%1."/>
      <w:lvlJc w:val="left"/>
      <w:pPr>
        <w:ind w:left="1260" w:hanging="360"/>
      </w:pPr>
      <w:rPr>
        <w:rFonts w:ascii="Calibri" w:hAnsi="Calibri" w:cs="Calibri" w:hint="default"/>
        <w:sz w:val="24"/>
        <w:szCs w:val="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0" w15:restartNumberingAfterBreak="0">
    <w:nsid w:val="308F0FA7"/>
    <w:multiLevelType w:val="hybridMultilevel"/>
    <w:tmpl w:val="752E0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0F30D7D"/>
    <w:multiLevelType w:val="hybridMultilevel"/>
    <w:tmpl w:val="6D1671B8"/>
    <w:lvl w:ilvl="0" w:tplc="B9B04C5A">
      <w:start w:val="1"/>
      <w:numFmt w:val="decimal"/>
      <w:lvlText w:val="%1."/>
      <w:lvlJc w:val="left"/>
      <w:pPr>
        <w:ind w:left="846" w:hanging="216"/>
      </w:pPr>
      <w:rPr>
        <w:rFonts w:asciiTheme="minorHAnsi" w:hAnsiTheme="minorHAnsi" w:cstheme="minorHAnsi" w:hint="default"/>
        <w:b w:val="0"/>
        <w:bCs/>
        <w:i w:val="0"/>
        <w:iCs w:val="0"/>
        <w:color w:val="auto"/>
        <w:sz w:val="22"/>
        <w:szCs w:val="22"/>
      </w:rPr>
    </w:lvl>
    <w:lvl w:ilvl="1" w:tplc="9502DC20">
      <w:start w:val="1"/>
      <w:numFmt w:val="lowerRoman"/>
      <w:lvlText w:val="(%2)"/>
      <w:lvlJc w:val="left"/>
      <w:pPr>
        <w:ind w:left="2426" w:hanging="720"/>
      </w:pPr>
      <w:rPr>
        <w:rFonts w:hint="default"/>
        <w:b/>
        <w:i/>
      </w:rPr>
    </w:lvl>
    <w:lvl w:ilvl="2" w:tplc="537C3938">
      <w:start w:val="1"/>
      <w:numFmt w:val="lowerRoman"/>
      <w:lvlText w:val="%3."/>
      <w:lvlJc w:val="right"/>
      <w:pPr>
        <w:ind w:left="2786" w:hanging="180"/>
      </w:pPr>
    </w:lvl>
    <w:lvl w:ilvl="3" w:tplc="A99C450C">
      <w:start w:val="1"/>
      <w:numFmt w:val="decimal"/>
      <w:lvlText w:val="(%4)"/>
      <w:lvlJc w:val="left"/>
      <w:pPr>
        <w:ind w:left="3506" w:hanging="360"/>
      </w:pPr>
      <w:rPr>
        <w:rFonts w:hint="default"/>
        <w:b/>
      </w:rPr>
    </w:lvl>
    <w:lvl w:ilvl="4" w:tplc="439AE79A" w:tentative="1">
      <w:start w:val="1"/>
      <w:numFmt w:val="lowerLetter"/>
      <w:lvlText w:val="%5."/>
      <w:lvlJc w:val="left"/>
      <w:pPr>
        <w:ind w:left="4226" w:hanging="360"/>
      </w:pPr>
    </w:lvl>
    <w:lvl w:ilvl="5" w:tplc="AD4CA7F4" w:tentative="1">
      <w:start w:val="1"/>
      <w:numFmt w:val="lowerRoman"/>
      <w:lvlText w:val="%6."/>
      <w:lvlJc w:val="right"/>
      <w:pPr>
        <w:ind w:left="4946" w:hanging="180"/>
      </w:pPr>
    </w:lvl>
    <w:lvl w:ilvl="6" w:tplc="ACD2A71A" w:tentative="1">
      <w:start w:val="1"/>
      <w:numFmt w:val="decimal"/>
      <w:lvlText w:val="%7."/>
      <w:lvlJc w:val="left"/>
      <w:pPr>
        <w:ind w:left="5666" w:hanging="360"/>
      </w:pPr>
    </w:lvl>
    <w:lvl w:ilvl="7" w:tplc="363AC190" w:tentative="1">
      <w:start w:val="1"/>
      <w:numFmt w:val="lowerLetter"/>
      <w:lvlText w:val="%8."/>
      <w:lvlJc w:val="left"/>
      <w:pPr>
        <w:ind w:left="6386" w:hanging="360"/>
      </w:pPr>
    </w:lvl>
    <w:lvl w:ilvl="8" w:tplc="5C80F9A6" w:tentative="1">
      <w:start w:val="1"/>
      <w:numFmt w:val="lowerRoman"/>
      <w:lvlText w:val="%9."/>
      <w:lvlJc w:val="right"/>
      <w:pPr>
        <w:ind w:left="7106" w:hanging="180"/>
      </w:pPr>
    </w:lvl>
  </w:abstractNum>
  <w:abstractNum w:abstractNumId="52" w15:restartNumberingAfterBreak="0">
    <w:nsid w:val="3164172A"/>
    <w:multiLevelType w:val="hybridMultilevel"/>
    <w:tmpl w:val="93468266"/>
    <w:lvl w:ilvl="0" w:tplc="D79AB2E6">
      <w:start w:val="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26E5B1D"/>
    <w:multiLevelType w:val="hybridMultilevel"/>
    <w:tmpl w:val="76CC0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4B00EB6"/>
    <w:multiLevelType w:val="hybridMultilevel"/>
    <w:tmpl w:val="2F36B0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359C5084"/>
    <w:multiLevelType w:val="hybridMultilevel"/>
    <w:tmpl w:val="4A24C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6120BF7"/>
    <w:multiLevelType w:val="hybridMultilevel"/>
    <w:tmpl w:val="2E18CDCC"/>
    <w:lvl w:ilvl="0" w:tplc="786667F2">
      <w:start w:val="1"/>
      <w:numFmt w:val="lowerRoman"/>
      <w:lvlText w:val="(%1)"/>
      <w:lvlJc w:val="left"/>
      <w:pPr>
        <w:ind w:left="959" w:hanging="720"/>
      </w:pPr>
      <w:rPr>
        <w:rFonts w:hint="default"/>
      </w:rPr>
    </w:lvl>
    <w:lvl w:ilvl="1" w:tplc="04090019" w:tentative="1">
      <w:start w:val="1"/>
      <w:numFmt w:val="lowerLetter"/>
      <w:lvlText w:val="%2."/>
      <w:lvlJc w:val="left"/>
      <w:pPr>
        <w:ind w:left="1319" w:hanging="360"/>
      </w:pPr>
    </w:lvl>
    <w:lvl w:ilvl="2" w:tplc="0409001B" w:tentative="1">
      <w:start w:val="1"/>
      <w:numFmt w:val="lowerRoman"/>
      <w:lvlText w:val="%3."/>
      <w:lvlJc w:val="right"/>
      <w:pPr>
        <w:ind w:left="2039" w:hanging="180"/>
      </w:pPr>
    </w:lvl>
    <w:lvl w:ilvl="3" w:tplc="0409000F" w:tentative="1">
      <w:start w:val="1"/>
      <w:numFmt w:val="decimal"/>
      <w:lvlText w:val="%4."/>
      <w:lvlJc w:val="left"/>
      <w:pPr>
        <w:ind w:left="2759" w:hanging="360"/>
      </w:pPr>
    </w:lvl>
    <w:lvl w:ilvl="4" w:tplc="04090019" w:tentative="1">
      <w:start w:val="1"/>
      <w:numFmt w:val="lowerLetter"/>
      <w:lvlText w:val="%5."/>
      <w:lvlJc w:val="left"/>
      <w:pPr>
        <w:ind w:left="3479" w:hanging="360"/>
      </w:pPr>
    </w:lvl>
    <w:lvl w:ilvl="5" w:tplc="0409001B" w:tentative="1">
      <w:start w:val="1"/>
      <w:numFmt w:val="lowerRoman"/>
      <w:lvlText w:val="%6."/>
      <w:lvlJc w:val="right"/>
      <w:pPr>
        <w:ind w:left="4199" w:hanging="180"/>
      </w:pPr>
    </w:lvl>
    <w:lvl w:ilvl="6" w:tplc="0409000F" w:tentative="1">
      <w:start w:val="1"/>
      <w:numFmt w:val="decimal"/>
      <w:lvlText w:val="%7."/>
      <w:lvlJc w:val="left"/>
      <w:pPr>
        <w:ind w:left="4919" w:hanging="360"/>
      </w:pPr>
    </w:lvl>
    <w:lvl w:ilvl="7" w:tplc="04090019" w:tentative="1">
      <w:start w:val="1"/>
      <w:numFmt w:val="lowerLetter"/>
      <w:lvlText w:val="%8."/>
      <w:lvlJc w:val="left"/>
      <w:pPr>
        <w:ind w:left="5639" w:hanging="360"/>
      </w:pPr>
    </w:lvl>
    <w:lvl w:ilvl="8" w:tplc="0409001B" w:tentative="1">
      <w:start w:val="1"/>
      <w:numFmt w:val="lowerRoman"/>
      <w:lvlText w:val="%9."/>
      <w:lvlJc w:val="right"/>
      <w:pPr>
        <w:ind w:left="6359" w:hanging="180"/>
      </w:pPr>
    </w:lvl>
  </w:abstractNum>
  <w:abstractNum w:abstractNumId="57" w15:restartNumberingAfterBreak="0">
    <w:nsid w:val="36D37E9D"/>
    <w:multiLevelType w:val="multilevel"/>
    <w:tmpl w:val="677ED4EA"/>
    <w:lvl w:ilvl="0">
      <w:start w:val="1"/>
      <w:numFmt w:val="decimal"/>
      <w:lvlText w:val="%1"/>
      <w:lvlJc w:val="left"/>
      <w:pPr>
        <w:ind w:left="410" w:hanging="410"/>
      </w:pPr>
      <w:rPr>
        <w:rFonts w:hint="default"/>
      </w:rPr>
    </w:lvl>
    <w:lvl w:ilvl="1">
      <w:start w:val="1"/>
      <w:numFmt w:val="decimal"/>
      <w:lvlText w:val="%1.%2"/>
      <w:lvlJc w:val="left"/>
      <w:pPr>
        <w:ind w:left="320" w:hanging="410"/>
      </w:pPr>
      <w:rPr>
        <w:rFonts w:hint="default"/>
      </w:rPr>
    </w:lvl>
    <w:lvl w:ilvl="2">
      <w:start w:val="1"/>
      <w:numFmt w:val="decimal"/>
      <w:lvlText w:val="%1.%2.%3"/>
      <w:lvlJc w:val="left"/>
      <w:pPr>
        <w:ind w:left="540" w:hanging="720"/>
      </w:pPr>
      <w:rPr>
        <w:rFonts w:hint="default"/>
      </w:rPr>
    </w:lvl>
    <w:lvl w:ilvl="3">
      <w:start w:val="1"/>
      <w:numFmt w:val="decimal"/>
      <w:lvlText w:val="%1.%2.%3.%4"/>
      <w:lvlJc w:val="left"/>
      <w:pPr>
        <w:ind w:left="810" w:hanging="108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990" w:hanging="1440"/>
      </w:pPr>
      <w:rPr>
        <w:rFonts w:hint="default"/>
      </w:rPr>
    </w:lvl>
    <w:lvl w:ilvl="6">
      <w:start w:val="1"/>
      <w:numFmt w:val="decimal"/>
      <w:lvlText w:val="%1.%2.%3.%4.%5.%6.%7"/>
      <w:lvlJc w:val="left"/>
      <w:pPr>
        <w:ind w:left="900" w:hanging="1440"/>
      </w:pPr>
      <w:rPr>
        <w:rFonts w:hint="default"/>
      </w:rPr>
    </w:lvl>
    <w:lvl w:ilvl="7">
      <w:start w:val="1"/>
      <w:numFmt w:val="decimal"/>
      <w:lvlText w:val="%1.%2.%3.%4.%5.%6.%7.%8"/>
      <w:lvlJc w:val="left"/>
      <w:pPr>
        <w:ind w:left="1170" w:hanging="1800"/>
      </w:pPr>
      <w:rPr>
        <w:rFonts w:hint="default"/>
      </w:rPr>
    </w:lvl>
    <w:lvl w:ilvl="8">
      <w:start w:val="1"/>
      <w:numFmt w:val="decimal"/>
      <w:lvlText w:val="%1.%2.%3.%4.%5.%6.%7.%8.%9"/>
      <w:lvlJc w:val="left"/>
      <w:pPr>
        <w:ind w:left="1440" w:hanging="2160"/>
      </w:pPr>
      <w:rPr>
        <w:rFonts w:hint="default"/>
      </w:rPr>
    </w:lvl>
  </w:abstractNum>
  <w:abstractNum w:abstractNumId="58" w15:restartNumberingAfterBreak="0">
    <w:nsid w:val="39E008FA"/>
    <w:multiLevelType w:val="hybridMultilevel"/>
    <w:tmpl w:val="F77017BA"/>
    <w:lvl w:ilvl="0" w:tplc="FC54D8B2">
      <w:start w:val="1"/>
      <w:numFmt w:val="lowerLetter"/>
      <w:lvlText w:val="%1."/>
      <w:lvlJc w:val="left"/>
      <w:pPr>
        <w:ind w:left="1260" w:hanging="360"/>
      </w:pPr>
      <w:rPr>
        <w:rFonts w:ascii="Calibri" w:hAnsi="Calibri" w:cs="Calibri" w:hint="default"/>
        <w:sz w:val="24"/>
        <w:szCs w:val="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9" w15:restartNumberingAfterBreak="0">
    <w:nsid w:val="3A173FC8"/>
    <w:multiLevelType w:val="multilevel"/>
    <w:tmpl w:val="0000088B"/>
    <w:styleLink w:val="CurrentList1"/>
    <w:lvl w:ilvl="0">
      <w:start w:val="4"/>
      <w:numFmt w:val="decimal"/>
      <w:lvlText w:val="%1"/>
      <w:lvlJc w:val="left"/>
      <w:pPr>
        <w:ind w:left="1210" w:hanging="550"/>
      </w:pPr>
    </w:lvl>
    <w:lvl w:ilvl="1">
      <w:start w:val="2"/>
      <w:numFmt w:val="decimal"/>
      <w:lvlText w:val="%1.%2"/>
      <w:lvlJc w:val="left"/>
      <w:pPr>
        <w:ind w:left="1210" w:hanging="550"/>
      </w:pPr>
    </w:lvl>
    <w:lvl w:ilvl="2">
      <w:start w:val="3"/>
      <w:numFmt w:val="decimal"/>
      <w:lvlText w:val="%1.%2.%3"/>
      <w:lvlJc w:val="left"/>
      <w:pPr>
        <w:ind w:left="1210" w:hanging="550"/>
      </w:pPr>
      <w:rPr>
        <w:rFonts w:ascii="Calibri" w:hAnsi="Calibri" w:cs="Calibri"/>
        <w:b/>
        <w:bCs/>
        <w:i w:val="0"/>
        <w:iCs w:val="0"/>
        <w:spacing w:val="-1"/>
        <w:w w:val="100"/>
        <w:sz w:val="24"/>
        <w:szCs w:val="24"/>
      </w:rPr>
    </w:lvl>
    <w:lvl w:ilvl="3">
      <w:numFmt w:val="bullet"/>
      <w:lvlText w:val="-"/>
      <w:lvlJc w:val="left"/>
      <w:pPr>
        <w:ind w:left="1381" w:hanging="360"/>
      </w:pPr>
      <w:rPr>
        <w:rFonts w:ascii="Calibri" w:hAnsi="Calibri" w:cs="Calibri"/>
        <w:b w:val="0"/>
        <w:bCs w:val="0"/>
        <w:i w:val="0"/>
        <w:iCs w:val="0"/>
        <w:w w:val="100"/>
        <w:sz w:val="24"/>
        <w:szCs w:val="24"/>
      </w:rPr>
    </w:lvl>
    <w:lvl w:ilvl="4">
      <w:numFmt w:val="bullet"/>
      <w:lvlText w:val="•"/>
      <w:lvlJc w:val="left"/>
      <w:pPr>
        <w:ind w:left="4288" w:hanging="360"/>
      </w:pPr>
    </w:lvl>
    <w:lvl w:ilvl="5">
      <w:numFmt w:val="bullet"/>
      <w:lvlText w:val="•"/>
      <w:lvlJc w:val="left"/>
      <w:pPr>
        <w:ind w:left="5258" w:hanging="360"/>
      </w:pPr>
    </w:lvl>
    <w:lvl w:ilvl="6">
      <w:numFmt w:val="bullet"/>
      <w:lvlText w:val="•"/>
      <w:lvlJc w:val="left"/>
      <w:pPr>
        <w:ind w:left="6228" w:hanging="360"/>
      </w:pPr>
    </w:lvl>
    <w:lvl w:ilvl="7">
      <w:numFmt w:val="bullet"/>
      <w:lvlText w:val="•"/>
      <w:lvlJc w:val="left"/>
      <w:pPr>
        <w:ind w:left="7197" w:hanging="360"/>
      </w:pPr>
    </w:lvl>
    <w:lvl w:ilvl="8">
      <w:numFmt w:val="bullet"/>
      <w:lvlText w:val="•"/>
      <w:lvlJc w:val="left"/>
      <w:pPr>
        <w:ind w:left="8167" w:hanging="360"/>
      </w:pPr>
    </w:lvl>
  </w:abstractNum>
  <w:abstractNum w:abstractNumId="60" w15:restartNumberingAfterBreak="0">
    <w:nsid w:val="3A8D7C55"/>
    <w:multiLevelType w:val="hybridMultilevel"/>
    <w:tmpl w:val="24682C7C"/>
    <w:lvl w:ilvl="0" w:tplc="E69A6982">
      <w:start w:val="1"/>
      <w:numFmt w:val="lowerLetter"/>
      <w:lvlText w:val="%1."/>
      <w:lvlJc w:val="left"/>
      <w:pPr>
        <w:ind w:left="1440" w:hanging="360"/>
      </w:pPr>
      <w:rPr>
        <w:rFonts w:ascii="Calibri" w:hAnsi="Calibri" w:cs="Calibri" w:hint="default"/>
        <w:b w:val="0"/>
        <w:b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3B7D7A85"/>
    <w:multiLevelType w:val="hybridMultilevel"/>
    <w:tmpl w:val="267A91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15:restartNumberingAfterBreak="0">
    <w:nsid w:val="3D2E574E"/>
    <w:multiLevelType w:val="hybridMultilevel"/>
    <w:tmpl w:val="842E437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EA626E1"/>
    <w:multiLevelType w:val="hybridMultilevel"/>
    <w:tmpl w:val="74461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ED658B9"/>
    <w:multiLevelType w:val="hybridMultilevel"/>
    <w:tmpl w:val="F34E994A"/>
    <w:lvl w:ilvl="0" w:tplc="E916A4EC">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F2A6427"/>
    <w:multiLevelType w:val="hybridMultilevel"/>
    <w:tmpl w:val="0F209AD2"/>
    <w:lvl w:ilvl="0" w:tplc="0D00F61C">
      <w:start w:val="1"/>
      <w:numFmt w:val="decimal"/>
      <w:lvlText w:val="%1."/>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415A645C"/>
    <w:multiLevelType w:val="hybridMultilevel"/>
    <w:tmpl w:val="BBD0D3CE"/>
    <w:lvl w:ilvl="0" w:tplc="2CA070EC">
      <w:start w:val="1"/>
      <w:numFmt w:val="lowerLetter"/>
      <w:lvlText w:val="%1."/>
      <w:lvlJc w:val="left"/>
      <w:pPr>
        <w:ind w:left="1440" w:hanging="360"/>
      </w:pPr>
      <w:rPr>
        <w:rFonts w:ascii="Calibri" w:hAnsi="Calibri" w:cs="Calibri" w:hint="default"/>
        <w:b/>
        <w:bCs/>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45C83B6C"/>
    <w:multiLevelType w:val="hybridMultilevel"/>
    <w:tmpl w:val="C33C8E74"/>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5DA6DA4"/>
    <w:multiLevelType w:val="hybridMultilevel"/>
    <w:tmpl w:val="0D9EBA5A"/>
    <w:lvl w:ilvl="0" w:tplc="E916A4EC">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6294964"/>
    <w:multiLevelType w:val="hybridMultilevel"/>
    <w:tmpl w:val="B0683BC0"/>
    <w:lvl w:ilvl="0" w:tplc="78525AF4">
      <w:start w:val="2"/>
      <w:numFmt w:val="bullet"/>
      <w:lvlText w:val="-"/>
      <w:lvlJc w:val="left"/>
      <w:pPr>
        <w:ind w:left="90" w:hanging="360"/>
      </w:pPr>
      <w:rPr>
        <w:rFonts w:ascii="Calibri" w:eastAsia="Arial" w:hAnsi="Calibri" w:cs="Calibri"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70" w15:restartNumberingAfterBreak="0">
    <w:nsid w:val="469E6F05"/>
    <w:multiLevelType w:val="hybridMultilevel"/>
    <w:tmpl w:val="EA066E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B844068"/>
    <w:multiLevelType w:val="hybridMultilevel"/>
    <w:tmpl w:val="372284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D9B07B8"/>
    <w:multiLevelType w:val="hybridMultilevel"/>
    <w:tmpl w:val="06C2944A"/>
    <w:lvl w:ilvl="0" w:tplc="FC54D8B2">
      <w:start w:val="1"/>
      <w:numFmt w:val="lowerLetter"/>
      <w:lvlText w:val="%1."/>
      <w:lvlJc w:val="left"/>
      <w:pPr>
        <w:ind w:left="720" w:hanging="360"/>
      </w:pPr>
      <w:rPr>
        <w:rFonts w:ascii="Calibri" w:hAnsi="Calibri" w:cs="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E2779A8"/>
    <w:multiLevelType w:val="hybridMultilevel"/>
    <w:tmpl w:val="06CCFE70"/>
    <w:lvl w:ilvl="0" w:tplc="B114DEB4">
      <w:start w:val="1"/>
      <w:numFmt w:val="bullet"/>
      <w:lvlText w:val="·"/>
      <w:lvlJc w:val="left"/>
      <w:pPr>
        <w:ind w:left="720" w:hanging="360"/>
      </w:pPr>
      <w:rPr>
        <w:rFonts w:ascii="Symbol" w:hAnsi="Symbol" w:hint="default"/>
      </w:rPr>
    </w:lvl>
    <w:lvl w:ilvl="1" w:tplc="5350B994">
      <w:start w:val="1"/>
      <w:numFmt w:val="bullet"/>
      <w:lvlText w:val="o"/>
      <w:lvlJc w:val="left"/>
      <w:pPr>
        <w:ind w:left="1440" w:hanging="360"/>
      </w:pPr>
      <w:rPr>
        <w:rFonts w:ascii="Courier New" w:hAnsi="Courier New" w:hint="default"/>
      </w:rPr>
    </w:lvl>
    <w:lvl w:ilvl="2" w:tplc="E0C8D4E4">
      <w:start w:val="1"/>
      <w:numFmt w:val="bullet"/>
      <w:lvlText w:val=""/>
      <w:lvlJc w:val="left"/>
      <w:pPr>
        <w:ind w:left="2160" w:hanging="360"/>
      </w:pPr>
      <w:rPr>
        <w:rFonts w:ascii="Wingdings" w:hAnsi="Wingdings" w:hint="default"/>
      </w:rPr>
    </w:lvl>
    <w:lvl w:ilvl="3" w:tplc="CE46E826">
      <w:start w:val="1"/>
      <w:numFmt w:val="bullet"/>
      <w:lvlText w:val=""/>
      <w:lvlJc w:val="left"/>
      <w:pPr>
        <w:ind w:left="2880" w:hanging="360"/>
      </w:pPr>
      <w:rPr>
        <w:rFonts w:ascii="Symbol" w:hAnsi="Symbol" w:hint="default"/>
      </w:rPr>
    </w:lvl>
    <w:lvl w:ilvl="4" w:tplc="75FCBE50">
      <w:start w:val="1"/>
      <w:numFmt w:val="bullet"/>
      <w:lvlText w:val="o"/>
      <w:lvlJc w:val="left"/>
      <w:pPr>
        <w:ind w:left="3600" w:hanging="360"/>
      </w:pPr>
      <w:rPr>
        <w:rFonts w:ascii="Courier New" w:hAnsi="Courier New" w:hint="default"/>
      </w:rPr>
    </w:lvl>
    <w:lvl w:ilvl="5" w:tplc="A58ED4A4">
      <w:start w:val="1"/>
      <w:numFmt w:val="bullet"/>
      <w:lvlText w:val=""/>
      <w:lvlJc w:val="left"/>
      <w:pPr>
        <w:ind w:left="4320" w:hanging="360"/>
      </w:pPr>
      <w:rPr>
        <w:rFonts w:ascii="Wingdings" w:hAnsi="Wingdings" w:hint="default"/>
      </w:rPr>
    </w:lvl>
    <w:lvl w:ilvl="6" w:tplc="3FA03E3E">
      <w:start w:val="1"/>
      <w:numFmt w:val="bullet"/>
      <w:lvlText w:val=""/>
      <w:lvlJc w:val="left"/>
      <w:pPr>
        <w:ind w:left="5040" w:hanging="360"/>
      </w:pPr>
      <w:rPr>
        <w:rFonts w:ascii="Symbol" w:hAnsi="Symbol" w:hint="default"/>
      </w:rPr>
    </w:lvl>
    <w:lvl w:ilvl="7" w:tplc="23A870C8">
      <w:start w:val="1"/>
      <w:numFmt w:val="bullet"/>
      <w:lvlText w:val="o"/>
      <w:lvlJc w:val="left"/>
      <w:pPr>
        <w:ind w:left="5760" w:hanging="360"/>
      </w:pPr>
      <w:rPr>
        <w:rFonts w:ascii="Courier New" w:hAnsi="Courier New" w:hint="default"/>
      </w:rPr>
    </w:lvl>
    <w:lvl w:ilvl="8" w:tplc="2AB4C8F8">
      <w:start w:val="1"/>
      <w:numFmt w:val="bullet"/>
      <w:lvlText w:val=""/>
      <w:lvlJc w:val="left"/>
      <w:pPr>
        <w:ind w:left="6480" w:hanging="360"/>
      </w:pPr>
      <w:rPr>
        <w:rFonts w:ascii="Wingdings" w:hAnsi="Wingdings" w:hint="default"/>
      </w:rPr>
    </w:lvl>
  </w:abstractNum>
  <w:abstractNum w:abstractNumId="74" w15:restartNumberingAfterBreak="0">
    <w:nsid w:val="4FDD05C4"/>
    <w:multiLevelType w:val="hybridMultilevel"/>
    <w:tmpl w:val="C960E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20B3400"/>
    <w:multiLevelType w:val="multilevel"/>
    <w:tmpl w:val="5F20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3286BFF"/>
    <w:multiLevelType w:val="hybridMultilevel"/>
    <w:tmpl w:val="18F83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40D50B0"/>
    <w:multiLevelType w:val="hybridMultilevel"/>
    <w:tmpl w:val="8C2CE940"/>
    <w:lvl w:ilvl="0" w:tplc="30626644">
      <w:numFmt w:val="bullet"/>
      <w:lvlText w:val="•"/>
      <w:lvlJc w:val="left"/>
      <w:pPr>
        <w:ind w:left="720" w:hanging="72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5B12108"/>
    <w:multiLevelType w:val="hybridMultilevel"/>
    <w:tmpl w:val="C120737A"/>
    <w:lvl w:ilvl="0" w:tplc="F542701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68F71D9"/>
    <w:multiLevelType w:val="hybridMultilevel"/>
    <w:tmpl w:val="AD9CD4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A583A5B"/>
    <w:multiLevelType w:val="hybridMultilevel"/>
    <w:tmpl w:val="E9F4FB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15:restartNumberingAfterBreak="0">
    <w:nsid w:val="5E0828E1"/>
    <w:multiLevelType w:val="hybridMultilevel"/>
    <w:tmpl w:val="CECAC568"/>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2" w15:restartNumberingAfterBreak="0">
    <w:nsid w:val="5E953C24"/>
    <w:multiLevelType w:val="hybridMultilevel"/>
    <w:tmpl w:val="CB3EA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0F97698"/>
    <w:multiLevelType w:val="hybridMultilevel"/>
    <w:tmpl w:val="D2CEDE30"/>
    <w:lvl w:ilvl="0" w:tplc="FC54D8B2">
      <w:start w:val="1"/>
      <w:numFmt w:val="lowerLetter"/>
      <w:lvlText w:val="%1."/>
      <w:lvlJc w:val="left"/>
      <w:pPr>
        <w:ind w:left="959" w:hanging="360"/>
      </w:pPr>
      <w:rPr>
        <w:rFonts w:ascii="Calibri" w:hAnsi="Calibri" w:cs="Calibri" w:hint="default"/>
        <w:sz w:val="24"/>
        <w:szCs w:val="24"/>
      </w:rPr>
    </w:lvl>
    <w:lvl w:ilvl="1" w:tplc="04090019" w:tentative="1">
      <w:start w:val="1"/>
      <w:numFmt w:val="lowerLetter"/>
      <w:lvlText w:val="%2."/>
      <w:lvlJc w:val="left"/>
      <w:pPr>
        <w:ind w:left="1679" w:hanging="360"/>
      </w:pPr>
    </w:lvl>
    <w:lvl w:ilvl="2" w:tplc="0409001B" w:tentative="1">
      <w:start w:val="1"/>
      <w:numFmt w:val="lowerRoman"/>
      <w:lvlText w:val="%3."/>
      <w:lvlJc w:val="right"/>
      <w:pPr>
        <w:ind w:left="2399" w:hanging="180"/>
      </w:pPr>
    </w:lvl>
    <w:lvl w:ilvl="3" w:tplc="0409000F" w:tentative="1">
      <w:start w:val="1"/>
      <w:numFmt w:val="decimal"/>
      <w:lvlText w:val="%4."/>
      <w:lvlJc w:val="left"/>
      <w:pPr>
        <w:ind w:left="3119" w:hanging="360"/>
      </w:pPr>
    </w:lvl>
    <w:lvl w:ilvl="4" w:tplc="04090019" w:tentative="1">
      <w:start w:val="1"/>
      <w:numFmt w:val="lowerLetter"/>
      <w:lvlText w:val="%5."/>
      <w:lvlJc w:val="left"/>
      <w:pPr>
        <w:ind w:left="3839" w:hanging="360"/>
      </w:pPr>
    </w:lvl>
    <w:lvl w:ilvl="5" w:tplc="0409001B" w:tentative="1">
      <w:start w:val="1"/>
      <w:numFmt w:val="lowerRoman"/>
      <w:lvlText w:val="%6."/>
      <w:lvlJc w:val="right"/>
      <w:pPr>
        <w:ind w:left="4559" w:hanging="180"/>
      </w:pPr>
    </w:lvl>
    <w:lvl w:ilvl="6" w:tplc="0409000F" w:tentative="1">
      <w:start w:val="1"/>
      <w:numFmt w:val="decimal"/>
      <w:lvlText w:val="%7."/>
      <w:lvlJc w:val="left"/>
      <w:pPr>
        <w:ind w:left="5279" w:hanging="360"/>
      </w:pPr>
    </w:lvl>
    <w:lvl w:ilvl="7" w:tplc="04090019" w:tentative="1">
      <w:start w:val="1"/>
      <w:numFmt w:val="lowerLetter"/>
      <w:lvlText w:val="%8."/>
      <w:lvlJc w:val="left"/>
      <w:pPr>
        <w:ind w:left="5999" w:hanging="360"/>
      </w:pPr>
    </w:lvl>
    <w:lvl w:ilvl="8" w:tplc="0409001B" w:tentative="1">
      <w:start w:val="1"/>
      <w:numFmt w:val="lowerRoman"/>
      <w:lvlText w:val="%9."/>
      <w:lvlJc w:val="right"/>
      <w:pPr>
        <w:ind w:left="6719" w:hanging="180"/>
      </w:pPr>
    </w:lvl>
  </w:abstractNum>
  <w:abstractNum w:abstractNumId="84" w15:restartNumberingAfterBreak="0">
    <w:nsid w:val="61610CDD"/>
    <w:multiLevelType w:val="hybridMultilevel"/>
    <w:tmpl w:val="3668A31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5" w15:restartNumberingAfterBreak="0">
    <w:nsid w:val="631454CF"/>
    <w:multiLevelType w:val="hybridMultilevel"/>
    <w:tmpl w:val="1CBEE77E"/>
    <w:lvl w:ilvl="0" w:tplc="7756A078">
      <w:start w:val="1"/>
      <w:numFmt w:val="decimal"/>
      <w:lvlText w:val="%1."/>
      <w:lvlJc w:val="left"/>
      <w:pPr>
        <w:ind w:left="36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15:restartNumberingAfterBreak="0">
    <w:nsid w:val="63F74069"/>
    <w:multiLevelType w:val="hybridMultilevel"/>
    <w:tmpl w:val="5A724B76"/>
    <w:lvl w:ilvl="0" w:tplc="FC54D8B2">
      <w:start w:val="1"/>
      <w:numFmt w:val="lowerLetter"/>
      <w:lvlText w:val="%1."/>
      <w:lvlJc w:val="left"/>
      <w:pPr>
        <w:ind w:left="965" w:hanging="360"/>
      </w:pPr>
      <w:rPr>
        <w:rFonts w:ascii="Calibri" w:hAnsi="Calibri" w:cs="Calibri" w:hint="default"/>
        <w:sz w:val="24"/>
        <w:szCs w:val="24"/>
      </w:r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87" w15:restartNumberingAfterBreak="0">
    <w:nsid w:val="69496F4E"/>
    <w:multiLevelType w:val="hybridMultilevel"/>
    <w:tmpl w:val="C120737A"/>
    <w:lvl w:ilvl="0" w:tplc="F542701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A4700AD"/>
    <w:multiLevelType w:val="hybridMultilevel"/>
    <w:tmpl w:val="FD788364"/>
    <w:lvl w:ilvl="0" w:tplc="2B48BA00">
      <w:start w:val="1"/>
      <w:numFmt w:val="lowerLetter"/>
      <w:lvlText w:val="%1."/>
      <w:lvlJc w:val="left"/>
      <w:pPr>
        <w:ind w:left="1440" w:hanging="360"/>
      </w:pPr>
      <w:rPr>
        <w:rFonts w:ascii="Calibri" w:hAnsi="Calibri" w:cs="Calibri" w:hint="default"/>
        <w:b w:val="0"/>
        <w:b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6C4C7658"/>
    <w:multiLevelType w:val="hybridMultilevel"/>
    <w:tmpl w:val="5A68BE0E"/>
    <w:lvl w:ilvl="0" w:tplc="D1F0658A">
      <w:start w:val="1"/>
      <w:numFmt w:val="lowerLetter"/>
      <w:lvlText w:val="%1."/>
      <w:lvlJc w:val="left"/>
      <w:pPr>
        <w:ind w:left="1440" w:hanging="360"/>
      </w:pPr>
      <w:rPr>
        <w:rFonts w:ascii="Calibri" w:hAnsi="Calibri" w:cs="Calibri" w:hint="default"/>
        <w:b/>
        <w:bCs/>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6D662C98"/>
    <w:multiLevelType w:val="hybridMultilevel"/>
    <w:tmpl w:val="1E064502"/>
    <w:lvl w:ilvl="0" w:tplc="30626644">
      <w:numFmt w:val="bullet"/>
      <w:lvlText w:val="•"/>
      <w:lvlJc w:val="left"/>
      <w:pPr>
        <w:ind w:left="720" w:hanging="72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E102E7A"/>
    <w:multiLevelType w:val="hybridMultilevel"/>
    <w:tmpl w:val="26A02910"/>
    <w:lvl w:ilvl="0" w:tplc="C8CA78EA">
      <w:start w:val="1"/>
      <w:numFmt w:val="lowerLetter"/>
      <w:lvlText w:val="%1."/>
      <w:lvlJc w:val="left"/>
      <w:pPr>
        <w:ind w:left="1440" w:hanging="360"/>
      </w:pPr>
      <w:rPr>
        <w:rFonts w:ascii="Calibri" w:hAnsi="Calibri" w:cs="Calibri" w:hint="default"/>
        <w:b w:val="0"/>
        <w:b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6E5A3EA6"/>
    <w:multiLevelType w:val="hybridMultilevel"/>
    <w:tmpl w:val="164CC598"/>
    <w:lvl w:ilvl="0" w:tplc="EA9C0F0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EFD38E8"/>
    <w:multiLevelType w:val="hybridMultilevel"/>
    <w:tmpl w:val="D0143F30"/>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4" w15:restartNumberingAfterBreak="0">
    <w:nsid w:val="7375318B"/>
    <w:multiLevelType w:val="hybridMultilevel"/>
    <w:tmpl w:val="8C6A684A"/>
    <w:lvl w:ilvl="0" w:tplc="6E8669E6">
      <w:start w:val="1"/>
      <w:numFmt w:val="decimal"/>
      <w:lvlText w:val="%1."/>
      <w:lvlJc w:val="left"/>
      <w:pPr>
        <w:ind w:left="720" w:hanging="360"/>
      </w:pPr>
      <w:rPr>
        <w:b w:val="0"/>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74B87E2C"/>
    <w:multiLevelType w:val="hybridMultilevel"/>
    <w:tmpl w:val="425E6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63B79B3"/>
    <w:multiLevelType w:val="multilevel"/>
    <w:tmpl w:val="2448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7C75BA2"/>
    <w:multiLevelType w:val="hybridMultilevel"/>
    <w:tmpl w:val="55CE57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9044E1C"/>
    <w:multiLevelType w:val="hybridMultilevel"/>
    <w:tmpl w:val="783E6A5C"/>
    <w:lvl w:ilvl="0" w:tplc="FC54D8B2">
      <w:start w:val="1"/>
      <w:numFmt w:val="lowerLetter"/>
      <w:lvlText w:val="%1."/>
      <w:lvlJc w:val="left"/>
      <w:pPr>
        <w:ind w:left="959" w:hanging="360"/>
      </w:pPr>
      <w:rPr>
        <w:rFonts w:ascii="Calibri" w:hAnsi="Calibri" w:cs="Calibri" w:hint="default"/>
        <w:sz w:val="24"/>
        <w:szCs w:val="24"/>
      </w:rPr>
    </w:lvl>
    <w:lvl w:ilvl="1" w:tplc="04090019" w:tentative="1">
      <w:start w:val="1"/>
      <w:numFmt w:val="lowerLetter"/>
      <w:lvlText w:val="%2."/>
      <w:lvlJc w:val="left"/>
      <w:pPr>
        <w:ind w:left="1679" w:hanging="360"/>
      </w:pPr>
    </w:lvl>
    <w:lvl w:ilvl="2" w:tplc="0409001B" w:tentative="1">
      <w:start w:val="1"/>
      <w:numFmt w:val="lowerRoman"/>
      <w:lvlText w:val="%3."/>
      <w:lvlJc w:val="right"/>
      <w:pPr>
        <w:ind w:left="2399" w:hanging="180"/>
      </w:pPr>
    </w:lvl>
    <w:lvl w:ilvl="3" w:tplc="0409000F" w:tentative="1">
      <w:start w:val="1"/>
      <w:numFmt w:val="decimal"/>
      <w:lvlText w:val="%4."/>
      <w:lvlJc w:val="left"/>
      <w:pPr>
        <w:ind w:left="3119" w:hanging="360"/>
      </w:pPr>
    </w:lvl>
    <w:lvl w:ilvl="4" w:tplc="04090019" w:tentative="1">
      <w:start w:val="1"/>
      <w:numFmt w:val="lowerLetter"/>
      <w:lvlText w:val="%5."/>
      <w:lvlJc w:val="left"/>
      <w:pPr>
        <w:ind w:left="3839" w:hanging="360"/>
      </w:pPr>
    </w:lvl>
    <w:lvl w:ilvl="5" w:tplc="0409001B" w:tentative="1">
      <w:start w:val="1"/>
      <w:numFmt w:val="lowerRoman"/>
      <w:lvlText w:val="%6."/>
      <w:lvlJc w:val="right"/>
      <w:pPr>
        <w:ind w:left="4559" w:hanging="180"/>
      </w:pPr>
    </w:lvl>
    <w:lvl w:ilvl="6" w:tplc="0409000F" w:tentative="1">
      <w:start w:val="1"/>
      <w:numFmt w:val="decimal"/>
      <w:lvlText w:val="%7."/>
      <w:lvlJc w:val="left"/>
      <w:pPr>
        <w:ind w:left="5279" w:hanging="360"/>
      </w:pPr>
    </w:lvl>
    <w:lvl w:ilvl="7" w:tplc="04090019" w:tentative="1">
      <w:start w:val="1"/>
      <w:numFmt w:val="lowerLetter"/>
      <w:lvlText w:val="%8."/>
      <w:lvlJc w:val="left"/>
      <w:pPr>
        <w:ind w:left="5999" w:hanging="360"/>
      </w:pPr>
    </w:lvl>
    <w:lvl w:ilvl="8" w:tplc="0409001B" w:tentative="1">
      <w:start w:val="1"/>
      <w:numFmt w:val="lowerRoman"/>
      <w:lvlText w:val="%9."/>
      <w:lvlJc w:val="right"/>
      <w:pPr>
        <w:ind w:left="6719" w:hanging="180"/>
      </w:pPr>
    </w:lvl>
  </w:abstractNum>
  <w:abstractNum w:abstractNumId="99" w15:restartNumberingAfterBreak="0">
    <w:nsid w:val="7A9027F0"/>
    <w:multiLevelType w:val="hybridMultilevel"/>
    <w:tmpl w:val="AC60515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0" w15:restartNumberingAfterBreak="0">
    <w:nsid w:val="7D87073E"/>
    <w:multiLevelType w:val="hybridMultilevel"/>
    <w:tmpl w:val="199CBB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7DEB684A"/>
    <w:multiLevelType w:val="hybridMultilevel"/>
    <w:tmpl w:val="4C584F2C"/>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02" w15:restartNumberingAfterBreak="0">
    <w:nsid w:val="7E6948D2"/>
    <w:multiLevelType w:val="hybridMultilevel"/>
    <w:tmpl w:val="4B6617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FC2195B"/>
    <w:multiLevelType w:val="multilevel"/>
    <w:tmpl w:val="00000886"/>
    <w:styleLink w:val="CurrentList2"/>
    <w:lvl w:ilvl="0">
      <w:start w:val="3"/>
      <w:numFmt w:val="decimal"/>
      <w:lvlText w:val="%1"/>
      <w:lvlJc w:val="left"/>
      <w:pPr>
        <w:ind w:left="1069" w:hanging="408"/>
      </w:pPr>
    </w:lvl>
    <w:lvl w:ilvl="1">
      <w:start w:val="1"/>
      <w:numFmt w:val="decimal"/>
      <w:lvlText w:val="%1.%2"/>
      <w:lvlJc w:val="left"/>
      <w:pPr>
        <w:ind w:left="1069" w:hanging="408"/>
      </w:pPr>
      <w:rPr>
        <w:rFonts w:ascii="Calibri" w:hAnsi="Calibri" w:cs="Calibri"/>
        <w:b/>
        <w:bCs/>
        <w:i w:val="0"/>
        <w:iCs w:val="0"/>
        <w:spacing w:val="-1"/>
        <w:w w:val="100"/>
        <w:sz w:val="28"/>
        <w:szCs w:val="28"/>
      </w:rPr>
    </w:lvl>
    <w:lvl w:ilvl="2">
      <w:numFmt w:val="bullet"/>
      <w:lvlText w:val="•"/>
      <w:lvlJc w:val="left"/>
      <w:pPr>
        <w:ind w:left="2869" w:hanging="408"/>
      </w:pPr>
    </w:lvl>
    <w:lvl w:ilvl="3">
      <w:numFmt w:val="bullet"/>
      <w:lvlText w:val="•"/>
      <w:lvlJc w:val="left"/>
      <w:pPr>
        <w:ind w:left="3773" w:hanging="408"/>
      </w:pPr>
    </w:lvl>
    <w:lvl w:ilvl="4">
      <w:numFmt w:val="bullet"/>
      <w:lvlText w:val="•"/>
      <w:lvlJc w:val="left"/>
      <w:pPr>
        <w:ind w:left="4678" w:hanging="408"/>
      </w:pPr>
    </w:lvl>
    <w:lvl w:ilvl="5">
      <w:numFmt w:val="bullet"/>
      <w:lvlText w:val="•"/>
      <w:lvlJc w:val="left"/>
      <w:pPr>
        <w:ind w:left="5583" w:hanging="408"/>
      </w:pPr>
    </w:lvl>
    <w:lvl w:ilvl="6">
      <w:numFmt w:val="bullet"/>
      <w:lvlText w:val="•"/>
      <w:lvlJc w:val="left"/>
      <w:pPr>
        <w:ind w:left="6487" w:hanging="408"/>
      </w:pPr>
    </w:lvl>
    <w:lvl w:ilvl="7">
      <w:numFmt w:val="bullet"/>
      <w:lvlText w:val="•"/>
      <w:lvlJc w:val="left"/>
      <w:pPr>
        <w:ind w:left="7392" w:hanging="408"/>
      </w:pPr>
    </w:lvl>
    <w:lvl w:ilvl="8">
      <w:numFmt w:val="bullet"/>
      <w:lvlText w:val="•"/>
      <w:lvlJc w:val="left"/>
      <w:pPr>
        <w:ind w:left="8297" w:hanging="408"/>
      </w:pPr>
    </w:lvl>
  </w:abstractNum>
  <w:num w:numId="1">
    <w:abstractNumId w:val="73"/>
  </w:num>
  <w:num w:numId="2">
    <w:abstractNumId w:val="11"/>
  </w:num>
  <w:num w:numId="3">
    <w:abstractNumId w:val="10"/>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7"/>
  </w:num>
  <w:num w:numId="15">
    <w:abstractNumId w:val="40"/>
  </w:num>
  <w:num w:numId="16">
    <w:abstractNumId w:val="12"/>
  </w:num>
  <w:num w:numId="17">
    <w:abstractNumId w:val="64"/>
  </w:num>
  <w:num w:numId="18">
    <w:abstractNumId w:val="34"/>
  </w:num>
  <w:num w:numId="19">
    <w:abstractNumId w:val="68"/>
  </w:num>
  <w:num w:numId="20">
    <w:abstractNumId w:val="45"/>
  </w:num>
  <w:num w:numId="21">
    <w:abstractNumId w:val="82"/>
  </w:num>
  <w:num w:numId="22">
    <w:abstractNumId w:val="51"/>
  </w:num>
  <w:num w:numId="23">
    <w:abstractNumId w:val="76"/>
  </w:num>
  <w:num w:numId="24">
    <w:abstractNumId w:val="27"/>
  </w:num>
  <w:num w:numId="25">
    <w:abstractNumId w:val="74"/>
  </w:num>
  <w:num w:numId="26">
    <w:abstractNumId w:val="96"/>
  </w:num>
  <w:num w:numId="27">
    <w:abstractNumId w:val="75"/>
  </w:num>
  <w:num w:numId="28">
    <w:abstractNumId w:val="14"/>
  </w:num>
  <w:num w:numId="29">
    <w:abstractNumId w:val="90"/>
  </w:num>
  <w:num w:numId="30">
    <w:abstractNumId w:val="33"/>
  </w:num>
  <w:num w:numId="31">
    <w:abstractNumId w:val="77"/>
  </w:num>
  <w:num w:numId="32">
    <w:abstractNumId w:val="41"/>
  </w:num>
  <w:num w:numId="33">
    <w:abstractNumId w:val="59"/>
  </w:num>
  <w:num w:numId="34">
    <w:abstractNumId w:val="31"/>
  </w:num>
  <w:num w:numId="35">
    <w:abstractNumId w:val="52"/>
  </w:num>
  <w:num w:numId="36">
    <w:abstractNumId w:val="56"/>
  </w:num>
  <w:num w:numId="37">
    <w:abstractNumId w:val="103"/>
  </w:num>
  <w:num w:numId="38">
    <w:abstractNumId w:val="55"/>
  </w:num>
  <w:num w:numId="39">
    <w:abstractNumId w:val="70"/>
  </w:num>
  <w:num w:numId="40">
    <w:abstractNumId w:val="92"/>
  </w:num>
  <w:num w:numId="4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4"/>
  </w:num>
  <w:num w:numId="43">
    <w:abstractNumId w:val="99"/>
  </w:num>
  <w:num w:numId="44">
    <w:abstractNumId w:val="30"/>
  </w:num>
  <w:num w:numId="45">
    <w:abstractNumId w:val="36"/>
  </w:num>
  <w:num w:numId="46">
    <w:abstractNumId w:val="29"/>
  </w:num>
  <w:num w:numId="47">
    <w:abstractNumId w:val="15"/>
  </w:num>
  <w:num w:numId="48">
    <w:abstractNumId w:val="69"/>
  </w:num>
  <w:num w:numId="49">
    <w:abstractNumId w:val="22"/>
  </w:num>
  <w:num w:numId="50">
    <w:abstractNumId w:val="47"/>
  </w:num>
  <w:num w:numId="51">
    <w:abstractNumId w:val="100"/>
  </w:num>
  <w:num w:numId="52">
    <w:abstractNumId w:val="67"/>
  </w:num>
  <w:num w:numId="53">
    <w:abstractNumId w:val="101"/>
  </w:num>
  <w:num w:numId="54">
    <w:abstractNumId w:val="49"/>
  </w:num>
  <w:num w:numId="55">
    <w:abstractNumId w:val="58"/>
  </w:num>
  <w:num w:numId="56">
    <w:abstractNumId w:val="46"/>
  </w:num>
  <w:num w:numId="57">
    <w:abstractNumId w:val="97"/>
  </w:num>
  <w:num w:numId="58">
    <w:abstractNumId w:val="48"/>
  </w:num>
  <w:num w:numId="59">
    <w:abstractNumId w:val="57"/>
  </w:num>
  <w:num w:numId="60">
    <w:abstractNumId w:val="102"/>
  </w:num>
  <w:num w:numId="61">
    <w:abstractNumId w:val="44"/>
  </w:num>
  <w:num w:numId="62">
    <w:abstractNumId w:val="32"/>
  </w:num>
  <w:num w:numId="63">
    <w:abstractNumId w:val="26"/>
  </w:num>
  <w:num w:numId="64">
    <w:abstractNumId w:val="23"/>
  </w:num>
  <w:num w:numId="65">
    <w:abstractNumId w:val="43"/>
  </w:num>
  <w:num w:numId="66">
    <w:abstractNumId w:val="89"/>
  </w:num>
  <w:num w:numId="67">
    <w:abstractNumId w:val="95"/>
  </w:num>
  <w:num w:numId="68">
    <w:abstractNumId w:val="61"/>
  </w:num>
  <w:num w:numId="69">
    <w:abstractNumId w:val="80"/>
  </w:num>
  <w:num w:numId="70">
    <w:abstractNumId w:val="54"/>
  </w:num>
  <w:num w:numId="71">
    <w:abstractNumId w:val="24"/>
  </w:num>
  <w:num w:numId="72">
    <w:abstractNumId w:val="35"/>
  </w:num>
  <w:num w:numId="73">
    <w:abstractNumId w:val="79"/>
  </w:num>
  <w:num w:numId="74">
    <w:abstractNumId w:val="19"/>
  </w:num>
  <w:num w:numId="75">
    <w:abstractNumId w:val="28"/>
  </w:num>
  <w:num w:numId="76">
    <w:abstractNumId w:val="42"/>
  </w:num>
  <w:num w:numId="77">
    <w:abstractNumId w:val="16"/>
  </w:num>
  <w:num w:numId="78">
    <w:abstractNumId w:val="93"/>
  </w:num>
  <w:num w:numId="79">
    <w:abstractNumId w:val="38"/>
  </w:num>
  <w:num w:numId="80">
    <w:abstractNumId w:val="39"/>
  </w:num>
  <w:num w:numId="81">
    <w:abstractNumId w:val="81"/>
  </w:num>
  <w:num w:numId="82">
    <w:abstractNumId w:val="88"/>
  </w:num>
  <w:num w:numId="83">
    <w:abstractNumId w:val="91"/>
  </w:num>
  <w:num w:numId="84">
    <w:abstractNumId w:val="60"/>
  </w:num>
  <w:num w:numId="85">
    <w:abstractNumId w:val="66"/>
  </w:num>
  <w:num w:numId="86">
    <w:abstractNumId w:val="62"/>
  </w:num>
  <w:num w:numId="87">
    <w:abstractNumId w:val="18"/>
  </w:num>
  <w:num w:numId="88">
    <w:abstractNumId w:val="94"/>
  </w:num>
  <w:num w:numId="89">
    <w:abstractNumId w:val="65"/>
  </w:num>
  <w:num w:numId="9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1"/>
  </w:num>
  <w:num w:numId="92">
    <w:abstractNumId w:val="25"/>
  </w:num>
  <w:num w:numId="93">
    <w:abstractNumId w:val="63"/>
  </w:num>
  <w:num w:numId="94">
    <w:abstractNumId w:val="50"/>
  </w:num>
  <w:num w:numId="95">
    <w:abstractNumId w:val="53"/>
  </w:num>
  <w:num w:numId="96">
    <w:abstractNumId w:val="20"/>
  </w:num>
  <w:num w:numId="97">
    <w:abstractNumId w:val="98"/>
  </w:num>
  <w:num w:numId="98">
    <w:abstractNumId w:val="13"/>
  </w:num>
  <w:num w:numId="99">
    <w:abstractNumId w:val="78"/>
  </w:num>
  <w:num w:numId="100">
    <w:abstractNumId w:val="87"/>
  </w:num>
  <w:num w:numId="101">
    <w:abstractNumId w:val="72"/>
  </w:num>
  <w:num w:numId="102">
    <w:abstractNumId w:val="37"/>
  </w:num>
  <w:num w:numId="103">
    <w:abstractNumId w:val="83"/>
  </w:num>
  <w:num w:numId="104">
    <w:abstractNumId w:val="86"/>
  </w:num>
  <w:num w:numId="105">
    <w:abstractNumId w:val="7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70F"/>
    <w:rsid w:val="00005014"/>
    <w:rsid w:val="0000706D"/>
    <w:rsid w:val="00007333"/>
    <w:rsid w:val="00015230"/>
    <w:rsid w:val="00016247"/>
    <w:rsid w:val="000263B7"/>
    <w:rsid w:val="0003263F"/>
    <w:rsid w:val="0003354D"/>
    <w:rsid w:val="000351AA"/>
    <w:rsid w:val="00035514"/>
    <w:rsid w:val="000360E8"/>
    <w:rsid w:val="00036B4B"/>
    <w:rsid w:val="00036F2A"/>
    <w:rsid w:val="00037A3D"/>
    <w:rsid w:val="0004308A"/>
    <w:rsid w:val="00043A0F"/>
    <w:rsid w:val="00046F18"/>
    <w:rsid w:val="00047A00"/>
    <w:rsid w:val="000521E8"/>
    <w:rsid w:val="00057BDB"/>
    <w:rsid w:val="000613A1"/>
    <w:rsid w:val="0006436F"/>
    <w:rsid w:val="00067E7F"/>
    <w:rsid w:val="00067F08"/>
    <w:rsid w:val="00070451"/>
    <w:rsid w:val="00072834"/>
    <w:rsid w:val="00072DCB"/>
    <w:rsid w:val="000746B0"/>
    <w:rsid w:val="000804D7"/>
    <w:rsid w:val="0008264A"/>
    <w:rsid w:val="0008270E"/>
    <w:rsid w:val="00082B21"/>
    <w:rsid w:val="00084EA5"/>
    <w:rsid w:val="00085E3C"/>
    <w:rsid w:val="000910FB"/>
    <w:rsid w:val="00092677"/>
    <w:rsid w:val="00094906"/>
    <w:rsid w:val="000949EF"/>
    <w:rsid w:val="0009576A"/>
    <w:rsid w:val="0009625D"/>
    <w:rsid w:val="000A24E3"/>
    <w:rsid w:val="000A3A7F"/>
    <w:rsid w:val="000B1CC1"/>
    <w:rsid w:val="000B361A"/>
    <w:rsid w:val="000B38C3"/>
    <w:rsid w:val="000C26D4"/>
    <w:rsid w:val="000C3C43"/>
    <w:rsid w:val="000C63D1"/>
    <w:rsid w:val="000C646C"/>
    <w:rsid w:val="000D1D60"/>
    <w:rsid w:val="000D3865"/>
    <w:rsid w:val="000D3B4A"/>
    <w:rsid w:val="000D3BD3"/>
    <w:rsid w:val="000D5685"/>
    <w:rsid w:val="000E2068"/>
    <w:rsid w:val="000E277D"/>
    <w:rsid w:val="000E600F"/>
    <w:rsid w:val="000E62D8"/>
    <w:rsid w:val="000E6C08"/>
    <w:rsid w:val="000F373C"/>
    <w:rsid w:val="000F6443"/>
    <w:rsid w:val="001003AC"/>
    <w:rsid w:val="001026BA"/>
    <w:rsid w:val="001038A2"/>
    <w:rsid w:val="001043F1"/>
    <w:rsid w:val="00104EB8"/>
    <w:rsid w:val="00106405"/>
    <w:rsid w:val="001106E2"/>
    <w:rsid w:val="00110810"/>
    <w:rsid w:val="0011184D"/>
    <w:rsid w:val="00113670"/>
    <w:rsid w:val="00120FC4"/>
    <w:rsid w:val="00123835"/>
    <w:rsid w:val="001256DD"/>
    <w:rsid w:val="00130B67"/>
    <w:rsid w:val="0013495F"/>
    <w:rsid w:val="00137F3C"/>
    <w:rsid w:val="00141CD2"/>
    <w:rsid w:val="0014242B"/>
    <w:rsid w:val="00142674"/>
    <w:rsid w:val="00142924"/>
    <w:rsid w:val="00143EC8"/>
    <w:rsid w:val="00145884"/>
    <w:rsid w:val="00145C1B"/>
    <w:rsid w:val="001470D4"/>
    <w:rsid w:val="001479BD"/>
    <w:rsid w:val="00150FBD"/>
    <w:rsid w:val="00156284"/>
    <w:rsid w:val="001564F0"/>
    <w:rsid w:val="00157790"/>
    <w:rsid w:val="00162264"/>
    <w:rsid w:val="00166DBC"/>
    <w:rsid w:val="00173837"/>
    <w:rsid w:val="00173C4B"/>
    <w:rsid w:val="001743B6"/>
    <w:rsid w:val="00176C7C"/>
    <w:rsid w:val="00177CEF"/>
    <w:rsid w:val="00177F33"/>
    <w:rsid w:val="00184EB5"/>
    <w:rsid w:val="001857C0"/>
    <w:rsid w:val="00185E23"/>
    <w:rsid w:val="001877A4"/>
    <w:rsid w:val="00187D5E"/>
    <w:rsid w:val="00191370"/>
    <w:rsid w:val="00191826"/>
    <w:rsid w:val="001969BE"/>
    <w:rsid w:val="001B1B2A"/>
    <w:rsid w:val="001B3941"/>
    <w:rsid w:val="001B52E9"/>
    <w:rsid w:val="001C1C3A"/>
    <w:rsid w:val="001C4D23"/>
    <w:rsid w:val="001C720F"/>
    <w:rsid w:val="001D1E79"/>
    <w:rsid w:val="001D2523"/>
    <w:rsid w:val="001D3DD7"/>
    <w:rsid w:val="001D4FB2"/>
    <w:rsid w:val="001D6B17"/>
    <w:rsid w:val="001D710B"/>
    <w:rsid w:val="001E11F3"/>
    <w:rsid w:val="001E153F"/>
    <w:rsid w:val="001E7572"/>
    <w:rsid w:val="001F64DB"/>
    <w:rsid w:val="002032CF"/>
    <w:rsid w:val="00206732"/>
    <w:rsid w:val="00217049"/>
    <w:rsid w:val="0022223C"/>
    <w:rsid w:val="002254D8"/>
    <w:rsid w:val="00229070"/>
    <w:rsid w:val="00235C3A"/>
    <w:rsid w:val="002368C0"/>
    <w:rsid w:val="00237041"/>
    <w:rsid w:val="002379FA"/>
    <w:rsid w:val="00240A9D"/>
    <w:rsid w:val="00245839"/>
    <w:rsid w:val="00245D98"/>
    <w:rsid w:val="00250996"/>
    <w:rsid w:val="00254E97"/>
    <w:rsid w:val="00257BB7"/>
    <w:rsid w:val="00260552"/>
    <w:rsid w:val="00261FDE"/>
    <w:rsid w:val="00265071"/>
    <w:rsid w:val="00265875"/>
    <w:rsid w:val="002746B5"/>
    <w:rsid w:val="00276F82"/>
    <w:rsid w:val="00283D94"/>
    <w:rsid w:val="002857EB"/>
    <w:rsid w:val="002866B2"/>
    <w:rsid w:val="00286E1B"/>
    <w:rsid w:val="00290205"/>
    <w:rsid w:val="00292816"/>
    <w:rsid w:val="002A1FD1"/>
    <w:rsid w:val="002A4236"/>
    <w:rsid w:val="002A441E"/>
    <w:rsid w:val="002A58FE"/>
    <w:rsid w:val="002A7595"/>
    <w:rsid w:val="002A7B34"/>
    <w:rsid w:val="002B00D6"/>
    <w:rsid w:val="002B12A9"/>
    <w:rsid w:val="002B494D"/>
    <w:rsid w:val="002B4F56"/>
    <w:rsid w:val="002C3FAB"/>
    <w:rsid w:val="002C6BDD"/>
    <w:rsid w:val="002C6E2C"/>
    <w:rsid w:val="002C7420"/>
    <w:rsid w:val="002D0F89"/>
    <w:rsid w:val="002D7095"/>
    <w:rsid w:val="002E5F90"/>
    <w:rsid w:val="002E61A4"/>
    <w:rsid w:val="002E6B1B"/>
    <w:rsid w:val="002F1FD1"/>
    <w:rsid w:val="002F203D"/>
    <w:rsid w:val="002F45D8"/>
    <w:rsid w:val="002F6142"/>
    <w:rsid w:val="002F6D38"/>
    <w:rsid w:val="0030098C"/>
    <w:rsid w:val="0030582B"/>
    <w:rsid w:val="0030729B"/>
    <w:rsid w:val="00312FAA"/>
    <w:rsid w:val="00313DF1"/>
    <w:rsid w:val="00314079"/>
    <w:rsid w:val="0032111A"/>
    <w:rsid w:val="003228B3"/>
    <w:rsid w:val="00322B47"/>
    <w:rsid w:val="00322C58"/>
    <w:rsid w:val="003250E7"/>
    <w:rsid w:val="0033120B"/>
    <w:rsid w:val="0033134C"/>
    <w:rsid w:val="003315F3"/>
    <w:rsid w:val="003320E9"/>
    <w:rsid w:val="00332300"/>
    <w:rsid w:val="003325D4"/>
    <w:rsid w:val="0033330C"/>
    <w:rsid w:val="00333352"/>
    <w:rsid w:val="0033548B"/>
    <w:rsid w:val="003407BA"/>
    <w:rsid w:val="003450BE"/>
    <w:rsid w:val="003506C8"/>
    <w:rsid w:val="00350C7A"/>
    <w:rsid w:val="00352623"/>
    <w:rsid w:val="00353ECA"/>
    <w:rsid w:val="00354B92"/>
    <w:rsid w:val="0035507D"/>
    <w:rsid w:val="00356BC6"/>
    <w:rsid w:val="00357A6D"/>
    <w:rsid w:val="00361F23"/>
    <w:rsid w:val="00363839"/>
    <w:rsid w:val="003677B6"/>
    <w:rsid w:val="00372288"/>
    <w:rsid w:val="00376314"/>
    <w:rsid w:val="003844CA"/>
    <w:rsid w:val="003870F0"/>
    <w:rsid w:val="003919B6"/>
    <w:rsid w:val="0039239D"/>
    <w:rsid w:val="00394ED4"/>
    <w:rsid w:val="003970CB"/>
    <w:rsid w:val="003A0D7C"/>
    <w:rsid w:val="003A2A9C"/>
    <w:rsid w:val="003A2DA6"/>
    <w:rsid w:val="003A2F4D"/>
    <w:rsid w:val="003A3CFD"/>
    <w:rsid w:val="003A53A6"/>
    <w:rsid w:val="003B0AF3"/>
    <w:rsid w:val="003B13DD"/>
    <w:rsid w:val="003B488F"/>
    <w:rsid w:val="003B65E2"/>
    <w:rsid w:val="003C1E02"/>
    <w:rsid w:val="003C28C0"/>
    <w:rsid w:val="003C67E8"/>
    <w:rsid w:val="003D0F00"/>
    <w:rsid w:val="003D2887"/>
    <w:rsid w:val="003D28B1"/>
    <w:rsid w:val="003D364D"/>
    <w:rsid w:val="003D4A2B"/>
    <w:rsid w:val="003D4B48"/>
    <w:rsid w:val="003E2D67"/>
    <w:rsid w:val="003E4213"/>
    <w:rsid w:val="003E6895"/>
    <w:rsid w:val="003F1119"/>
    <w:rsid w:val="003F1862"/>
    <w:rsid w:val="003F3135"/>
    <w:rsid w:val="003F3C5D"/>
    <w:rsid w:val="003F3EC9"/>
    <w:rsid w:val="003F4CB6"/>
    <w:rsid w:val="003F6321"/>
    <w:rsid w:val="003F6D0F"/>
    <w:rsid w:val="00400401"/>
    <w:rsid w:val="00402557"/>
    <w:rsid w:val="004039BA"/>
    <w:rsid w:val="00407A23"/>
    <w:rsid w:val="00410FF5"/>
    <w:rsid w:val="004115B8"/>
    <w:rsid w:val="00413A03"/>
    <w:rsid w:val="00414A9B"/>
    <w:rsid w:val="004170FF"/>
    <w:rsid w:val="0042053E"/>
    <w:rsid w:val="0042225B"/>
    <w:rsid w:val="00422D7E"/>
    <w:rsid w:val="004233F6"/>
    <w:rsid w:val="00423AD4"/>
    <w:rsid w:val="00423DE3"/>
    <w:rsid w:val="00427998"/>
    <w:rsid w:val="004308D6"/>
    <w:rsid w:val="0043154C"/>
    <w:rsid w:val="00431DDA"/>
    <w:rsid w:val="0043335F"/>
    <w:rsid w:val="00434324"/>
    <w:rsid w:val="00440CCE"/>
    <w:rsid w:val="0044339D"/>
    <w:rsid w:val="004456D7"/>
    <w:rsid w:val="0045178A"/>
    <w:rsid w:val="00451C75"/>
    <w:rsid w:val="00452011"/>
    <w:rsid w:val="00453F98"/>
    <w:rsid w:val="00455572"/>
    <w:rsid w:val="00460103"/>
    <w:rsid w:val="00462998"/>
    <w:rsid w:val="004635CE"/>
    <w:rsid w:val="004716AD"/>
    <w:rsid w:val="00474D36"/>
    <w:rsid w:val="00475AE9"/>
    <w:rsid w:val="004811D2"/>
    <w:rsid w:val="00481D21"/>
    <w:rsid w:val="00482DBA"/>
    <w:rsid w:val="00484CCB"/>
    <w:rsid w:val="00486FBA"/>
    <w:rsid w:val="00493D2A"/>
    <w:rsid w:val="00496ED1"/>
    <w:rsid w:val="004A2D85"/>
    <w:rsid w:val="004A4E91"/>
    <w:rsid w:val="004A5C47"/>
    <w:rsid w:val="004A63FD"/>
    <w:rsid w:val="004A64D6"/>
    <w:rsid w:val="004B0823"/>
    <w:rsid w:val="004B10C8"/>
    <w:rsid w:val="004B1C7D"/>
    <w:rsid w:val="004B2321"/>
    <w:rsid w:val="004B5F0D"/>
    <w:rsid w:val="004B6D42"/>
    <w:rsid w:val="004BB008"/>
    <w:rsid w:val="004C13F4"/>
    <w:rsid w:val="004C2125"/>
    <w:rsid w:val="004C36A3"/>
    <w:rsid w:val="004C4464"/>
    <w:rsid w:val="004D0DFE"/>
    <w:rsid w:val="004D1343"/>
    <w:rsid w:val="004D50E5"/>
    <w:rsid w:val="004E10B0"/>
    <w:rsid w:val="004E2A45"/>
    <w:rsid w:val="004E2ABC"/>
    <w:rsid w:val="004E3C7C"/>
    <w:rsid w:val="004E4137"/>
    <w:rsid w:val="004E501E"/>
    <w:rsid w:val="004E7CD7"/>
    <w:rsid w:val="004F153B"/>
    <w:rsid w:val="004F176D"/>
    <w:rsid w:val="004F3D17"/>
    <w:rsid w:val="004F4263"/>
    <w:rsid w:val="004F651B"/>
    <w:rsid w:val="004F7977"/>
    <w:rsid w:val="00503FC9"/>
    <w:rsid w:val="005046B4"/>
    <w:rsid w:val="00504AC5"/>
    <w:rsid w:val="00504FAB"/>
    <w:rsid w:val="0050706C"/>
    <w:rsid w:val="00511BDD"/>
    <w:rsid w:val="00513FD3"/>
    <w:rsid w:val="00522201"/>
    <w:rsid w:val="00532C83"/>
    <w:rsid w:val="00533C5D"/>
    <w:rsid w:val="00534C0A"/>
    <w:rsid w:val="005367DA"/>
    <w:rsid w:val="0054633D"/>
    <w:rsid w:val="00547F17"/>
    <w:rsid w:val="00553018"/>
    <w:rsid w:val="005541AF"/>
    <w:rsid w:val="0055550F"/>
    <w:rsid w:val="0056297F"/>
    <w:rsid w:val="00566474"/>
    <w:rsid w:val="00566535"/>
    <w:rsid w:val="00566E0A"/>
    <w:rsid w:val="00573F43"/>
    <w:rsid w:val="00574825"/>
    <w:rsid w:val="00576263"/>
    <w:rsid w:val="005768F9"/>
    <w:rsid w:val="00580F72"/>
    <w:rsid w:val="00582419"/>
    <w:rsid w:val="005832F7"/>
    <w:rsid w:val="005918A8"/>
    <w:rsid w:val="00594ACF"/>
    <w:rsid w:val="0059586C"/>
    <w:rsid w:val="00596D4F"/>
    <w:rsid w:val="005A33EC"/>
    <w:rsid w:val="005A3F4B"/>
    <w:rsid w:val="005A47FE"/>
    <w:rsid w:val="005A6CF4"/>
    <w:rsid w:val="005A7D0E"/>
    <w:rsid w:val="005B73AD"/>
    <w:rsid w:val="005C19F7"/>
    <w:rsid w:val="005C42E9"/>
    <w:rsid w:val="005D0A3D"/>
    <w:rsid w:val="005D4B55"/>
    <w:rsid w:val="005E323C"/>
    <w:rsid w:val="005E460B"/>
    <w:rsid w:val="005E50A7"/>
    <w:rsid w:val="005E6DF9"/>
    <w:rsid w:val="005F0279"/>
    <w:rsid w:val="005F078A"/>
    <w:rsid w:val="005F2452"/>
    <w:rsid w:val="005F4B64"/>
    <w:rsid w:val="005F50D2"/>
    <w:rsid w:val="005F55AB"/>
    <w:rsid w:val="005F6C70"/>
    <w:rsid w:val="00600449"/>
    <w:rsid w:val="0060060A"/>
    <w:rsid w:val="00600B2A"/>
    <w:rsid w:val="00610365"/>
    <w:rsid w:val="00612472"/>
    <w:rsid w:val="00613116"/>
    <w:rsid w:val="00613B10"/>
    <w:rsid w:val="0061618E"/>
    <w:rsid w:val="00616EB0"/>
    <w:rsid w:val="0061756A"/>
    <w:rsid w:val="00621DA6"/>
    <w:rsid w:val="00623B99"/>
    <w:rsid w:val="00627025"/>
    <w:rsid w:val="00627B32"/>
    <w:rsid w:val="00630765"/>
    <w:rsid w:val="00634DDD"/>
    <w:rsid w:val="006369E6"/>
    <w:rsid w:val="00636AA9"/>
    <w:rsid w:val="0064324F"/>
    <w:rsid w:val="00644AA9"/>
    <w:rsid w:val="00650184"/>
    <w:rsid w:val="0065437C"/>
    <w:rsid w:val="0065491A"/>
    <w:rsid w:val="00655FB1"/>
    <w:rsid w:val="00657610"/>
    <w:rsid w:val="006607AD"/>
    <w:rsid w:val="00670D26"/>
    <w:rsid w:val="00673BFF"/>
    <w:rsid w:val="00677098"/>
    <w:rsid w:val="00677321"/>
    <w:rsid w:val="00681676"/>
    <w:rsid w:val="006844B4"/>
    <w:rsid w:val="006854E2"/>
    <w:rsid w:val="006910C8"/>
    <w:rsid w:val="00691E98"/>
    <w:rsid w:val="0069433B"/>
    <w:rsid w:val="0069507B"/>
    <w:rsid w:val="00696AD8"/>
    <w:rsid w:val="00696D4F"/>
    <w:rsid w:val="006A01E6"/>
    <w:rsid w:val="006A2DB9"/>
    <w:rsid w:val="006A34DC"/>
    <w:rsid w:val="006A3599"/>
    <w:rsid w:val="006A416E"/>
    <w:rsid w:val="006A5260"/>
    <w:rsid w:val="006A56E3"/>
    <w:rsid w:val="006A609F"/>
    <w:rsid w:val="006A699C"/>
    <w:rsid w:val="006B18D2"/>
    <w:rsid w:val="006B2C82"/>
    <w:rsid w:val="006B3F7B"/>
    <w:rsid w:val="006B784A"/>
    <w:rsid w:val="006C38DC"/>
    <w:rsid w:val="006C69F5"/>
    <w:rsid w:val="006C7B7E"/>
    <w:rsid w:val="006D0B7A"/>
    <w:rsid w:val="006D50B8"/>
    <w:rsid w:val="006D7D05"/>
    <w:rsid w:val="006E5AD5"/>
    <w:rsid w:val="006F0C1C"/>
    <w:rsid w:val="006F51FC"/>
    <w:rsid w:val="0070133F"/>
    <w:rsid w:val="0070650A"/>
    <w:rsid w:val="00707403"/>
    <w:rsid w:val="00707769"/>
    <w:rsid w:val="0070AD7B"/>
    <w:rsid w:val="00711658"/>
    <w:rsid w:val="0071184C"/>
    <w:rsid w:val="00714889"/>
    <w:rsid w:val="00720E48"/>
    <w:rsid w:val="00724BF4"/>
    <w:rsid w:val="00725BA0"/>
    <w:rsid w:val="00732185"/>
    <w:rsid w:val="00743DE8"/>
    <w:rsid w:val="00744D9F"/>
    <w:rsid w:val="00746588"/>
    <w:rsid w:val="00747F89"/>
    <w:rsid w:val="00751EA2"/>
    <w:rsid w:val="0075545F"/>
    <w:rsid w:val="007618B5"/>
    <w:rsid w:val="00761A0C"/>
    <w:rsid w:val="00761A33"/>
    <w:rsid w:val="00761F38"/>
    <w:rsid w:val="007635DC"/>
    <w:rsid w:val="007746E0"/>
    <w:rsid w:val="00783F98"/>
    <w:rsid w:val="00784C72"/>
    <w:rsid w:val="007919F5"/>
    <w:rsid w:val="00791F86"/>
    <w:rsid w:val="00792D88"/>
    <w:rsid w:val="007A0917"/>
    <w:rsid w:val="007A1529"/>
    <w:rsid w:val="007A22C0"/>
    <w:rsid w:val="007A29DD"/>
    <w:rsid w:val="007A43C0"/>
    <w:rsid w:val="007A6CED"/>
    <w:rsid w:val="007A6E79"/>
    <w:rsid w:val="007B37EE"/>
    <w:rsid w:val="007B61FF"/>
    <w:rsid w:val="007C0310"/>
    <w:rsid w:val="007C1874"/>
    <w:rsid w:val="007C37A1"/>
    <w:rsid w:val="007C3CEC"/>
    <w:rsid w:val="007C5055"/>
    <w:rsid w:val="007C61FD"/>
    <w:rsid w:val="007D05EA"/>
    <w:rsid w:val="007D1B69"/>
    <w:rsid w:val="007D5EB5"/>
    <w:rsid w:val="007E1F36"/>
    <w:rsid w:val="007E3F3D"/>
    <w:rsid w:val="007E4FC2"/>
    <w:rsid w:val="007F335D"/>
    <w:rsid w:val="007F5451"/>
    <w:rsid w:val="007F7349"/>
    <w:rsid w:val="0080036F"/>
    <w:rsid w:val="0080131C"/>
    <w:rsid w:val="00803252"/>
    <w:rsid w:val="0080540D"/>
    <w:rsid w:val="0080693B"/>
    <w:rsid w:val="00810B60"/>
    <w:rsid w:val="00812BF5"/>
    <w:rsid w:val="00813BCC"/>
    <w:rsid w:val="008164F2"/>
    <w:rsid w:val="008168CA"/>
    <w:rsid w:val="008245F6"/>
    <w:rsid w:val="0083429C"/>
    <w:rsid w:val="00835F78"/>
    <w:rsid w:val="00836BD2"/>
    <w:rsid w:val="00843B59"/>
    <w:rsid w:val="00847C48"/>
    <w:rsid w:val="00847F9B"/>
    <w:rsid w:val="008503B8"/>
    <w:rsid w:val="00860189"/>
    <w:rsid w:val="008605CE"/>
    <w:rsid w:val="008642CB"/>
    <w:rsid w:val="008649FB"/>
    <w:rsid w:val="00866764"/>
    <w:rsid w:val="008727B4"/>
    <w:rsid w:val="00872928"/>
    <w:rsid w:val="00873186"/>
    <w:rsid w:val="00873506"/>
    <w:rsid w:val="00874D0B"/>
    <w:rsid w:val="0087681C"/>
    <w:rsid w:val="008803B8"/>
    <w:rsid w:val="00884C19"/>
    <w:rsid w:val="00890B78"/>
    <w:rsid w:val="0089106E"/>
    <w:rsid w:val="00893726"/>
    <w:rsid w:val="008939F9"/>
    <w:rsid w:val="008A1C31"/>
    <w:rsid w:val="008A2D5C"/>
    <w:rsid w:val="008B1AFC"/>
    <w:rsid w:val="008B3657"/>
    <w:rsid w:val="008B4DEB"/>
    <w:rsid w:val="008B63E2"/>
    <w:rsid w:val="008B7025"/>
    <w:rsid w:val="008C0B37"/>
    <w:rsid w:val="008C1086"/>
    <w:rsid w:val="008C77CD"/>
    <w:rsid w:val="008E3FED"/>
    <w:rsid w:val="008F0674"/>
    <w:rsid w:val="008F32C5"/>
    <w:rsid w:val="008F3867"/>
    <w:rsid w:val="008F6626"/>
    <w:rsid w:val="009024FD"/>
    <w:rsid w:val="009032D6"/>
    <w:rsid w:val="00904F57"/>
    <w:rsid w:val="009104B2"/>
    <w:rsid w:val="00911292"/>
    <w:rsid w:val="00911FF0"/>
    <w:rsid w:val="009129B3"/>
    <w:rsid w:val="00913972"/>
    <w:rsid w:val="00914EFC"/>
    <w:rsid w:val="00915865"/>
    <w:rsid w:val="00926CC0"/>
    <w:rsid w:val="00926CC1"/>
    <w:rsid w:val="009337FD"/>
    <w:rsid w:val="00935F6F"/>
    <w:rsid w:val="00936BD6"/>
    <w:rsid w:val="009378BE"/>
    <w:rsid w:val="00940B1A"/>
    <w:rsid w:val="009424BF"/>
    <w:rsid w:val="009543E2"/>
    <w:rsid w:val="009552BB"/>
    <w:rsid w:val="009559EB"/>
    <w:rsid w:val="00955C20"/>
    <w:rsid w:val="00955EE0"/>
    <w:rsid w:val="0097226F"/>
    <w:rsid w:val="00972576"/>
    <w:rsid w:val="009734BC"/>
    <w:rsid w:val="00980295"/>
    <w:rsid w:val="00982891"/>
    <w:rsid w:val="009830B7"/>
    <w:rsid w:val="009861AD"/>
    <w:rsid w:val="009862A6"/>
    <w:rsid w:val="0098762F"/>
    <w:rsid w:val="00987B39"/>
    <w:rsid w:val="00991356"/>
    <w:rsid w:val="009913E1"/>
    <w:rsid w:val="00994535"/>
    <w:rsid w:val="009951F0"/>
    <w:rsid w:val="0099645E"/>
    <w:rsid w:val="00996BE3"/>
    <w:rsid w:val="00996CA0"/>
    <w:rsid w:val="009A49AC"/>
    <w:rsid w:val="009A4AE3"/>
    <w:rsid w:val="009B16EA"/>
    <w:rsid w:val="009C3C7F"/>
    <w:rsid w:val="009C4B43"/>
    <w:rsid w:val="009D0C8D"/>
    <w:rsid w:val="009D1C05"/>
    <w:rsid w:val="009D321F"/>
    <w:rsid w:val="009D5CF6"/>
    <w:rsid w:val="009EF7A1"/>
    <w:rsid w:val="009F1FFC"/>
    <w:rsid w:val="009F6CF9"/>
    <w:rsid w:val="009F7BE7"/>
    <w:rsid w:val="00A00631"/>
    <w:rsid w:val="00A00B77"/>
    <w:rsid w:val="00A03B04"/>
    <w:rsid w:val="00A05462"/>
    <w:rsid w:val="00A10103"/>
    <w:rsid w:val="00A139AE"/>
    <w:rsid w:val="00A154FA"/>
    <w:rsid w:val="00A21C4B"/>
    <w:rsid w:val="00A331E1"/>
    <w:rsid w:val="00A333CC"/>
    <w:rsid w:val="00A33722"/>
    <w:rsid w:val="00A33E52"/>
    <w:rsid w:val="00A41A96"/>
    <w:rsid w:val="00A43B90"/>
    <w:rsid w:val="00A5032F"/>
    <w:rsid w:val="00A50C73"/>
    <w:rsid w:val="00A567DA"/>
    <w:rsid w:val="00A610C1"/>
    <w:rsid w:val="00A6515B"/>
    <w:rsid w:val="00A71CAC"/>
    <w:rsid w:val="00A74BE1"/>
    <w:rsid w:val="00A80071"/>
    <w:rsid w:val="00A817D2"/>
    <w:rsid w:val="00A86686"/>
    <w:rsid w:val="00A86D89"/>
    <w:rsid w:val="00A87F49"/>
    <w:rsid w:val="00A90EB6"/>
    <w:rsid w:val="00A93270"/>
    <w:rsid w:val="00A94796"/>
    <w:rsid w:val="00A95D7F"/>
    <w:rsid w:val="00A967CF"/>
    <w:rsid w:val="00AA37E6"/>
    <w:rsid w:val="00AA667C"/>
    <w:rsid w:val="00AA6C66"/>
    <w:rsid w:val="00AB65B2"/>
    <w:rsid w:val="00AC06EF"/>
    <w:rsid w:val="00AC0853"/>
    <w:rsid w:val="00AC1AFB"/>
    <w:rsid w:val="00AC2A1C"/>
    <w:rsid w:val="00AC4F57"/>
    <w:rsid w:val="00AC7C3A"/>
    <w:rsid w:val="00AD0DFC"/>
    <w:rsid w:val="00AD29FE"/>
    <w:rsid w:val="00AD6A26"/>
    <w:rsid w:val="00AE2E95"/>
    <w:rsid w:val="00AE60B6"/>
    <w:rsid w:val="00AE7B22"/>
    <w:rsid w:val="00AF13BD"/>
    <w:rsid w:val="00B023CB"/>
    <w:rsid w:val="00B030FA"/>
    <w:rsid w:val="00B035C3"/>
    <w:rsid w:val="00B03A51"/>
    <w:rsid w:val="00B03B59"/>
    <w:rsid w:val="00B07B75"/>
    <w:rsid w:val="00B11340"/>
    <w:rsid w:val="00B12BEA"/>
    <w:rsid w:val="00B1382A"/>
    <w:rsid w:val="00B148CC"/>
    <w:rsid w:val="00B171DE"/>
    <w:rsid w:val="00B23179"/>
    <w:rsid w:val="00B26F29"/>
    <w:rsid w:val="00B30CA9"/>
    <w:rsid w:val="00B31DE6"/>
    <w:rsid w:val="00B42DD2"/>
    <w:rsid w:val="00B43682"/>
    <w:rsid w:val="00B45962"/>
    <w:rsid w:val="00B45F76"/>
    <w:rsid w:val="00B4670F"/>
    <w:rsid w:val="00B52AAC"/>
    <w:rsid w:val="00B54C68"/>
    <w:rsid w:val="00B5732B"/>
    <w:rsid w:val="00B60684"/>
    <w:rsid w:val="00B60819"/>
    <w:rsid w:val="00B61370"/>
    <w:rsid w:val="00B63D91"/>
    <w:rsid w:val="00B70A8A"/>
    <w:rsid w:val="00B7174E"/>
    <w:rsid w:val="00B71C38"/>
    <w:rsid w:val="00B737BE"/>
    <w:rsid w:val="00B7466C"/>
    <w:rsid w:val="00B77E9F"/>
    <w:rsid w:val="00B80FBD"/>
    <w:rsid w:val="00B82CDB"/>
    <w:rsid w:val="00B841F5"/>
    <w:rsid w:val="00B84DA5"/>
    <w:rsid w:val="00B856CA"/>
    <w:rsid w:val="00B85A5C"/>
    <w:rsid w:val="00B8675C"/>
    <w:rsid w:val="00B86F74"/>
    <w:rsid w:val="00B92789"/>
    <w:rsid w:val="00B95F2B"/>
    <w:rsid w:val="00B97F20"/>
    <w:rsid w:val="00B97FF8"/>
    <w:rsid w:val="00BA1163"/>
    <w:rsid w:val="00BB132F"/>
    <w:rsid w:val="00BB1403"/>
    <w:rsid w:val="00BB2CCF"/>
    <w:rsid w:val="00BB2F1E"/>
    <w:rsid w:val="00BB690E"/>
    <w:rsid w:val="00BC1439"/>
    <w:rsid w:val="00BC26EA"/>
    <w:rsid w:val="00BC5267"/>
    <w:rsid w:val="00BD29E9"/>
    <w:rsid w:val="00BD6FC6"/>
    <w:rsid w:val="00BE28F2"/>
    <w:rsid w:val="00BE4E37"/>
    <w:rsid w:val="00BE5D04"/>
    <w:rsid w:val="00BE6B8C"/>
    <w:rsid w:val="00BE7A09"/>
    <w:rsid w:val="00BF00CE"/>
    <w:rsid w:val="00BF1511"/>
    <w:rsid w:val="00BF2B83"/>
    <w:rsid w:val="00C0171C"/>
    <w:rsid w:val="00C01B1D"/>
    <w:rsid w:val="00C05890"/>
    <w:rsid w:val="00C05C12"/>
    <w:rsid w:val="00C1084C"/>
    <w:rsid w:val="00C120EB"/>
    <w:rsid w:val="00C12742"/>
    <w:rsid w:val="00C141B7"/>
    <w:rsid w:val="00C165E2"/>
    <w:rsid w:val="00C215CA"/>
    <w:rsid w:val="00C228D6"/>
    <w:rsid w:val="00C270FB"/>
    <w:rsid w:val="00C27BA4"/>
    <w:rsid w:val="00C335CF"/>
    <w:rsid w:val="00C343D5"/>
    <w:rsid w:val="00C344BF"/>
    <w:rsid w:val="00C375B1"/>
    <w:rsid w:val="00C409E1"/>
    <w:rsid w:val="00C4171F"/>
    <w:rsid w:val="00C41FC1"/>
    <w:rsid w:val="00C4329C"/>
    <w:rsid w:val="00C4793F"/>
    <w:rsid w:val="00C47C42"/>
    <w:rsid w:val="00C51F93"/>
    <w:rsid w:val="00C531CF"/>
    <w:rsid w:val="00C534D7"/>
    <w:rsid w:val="00C556DE"/>
    <w:rsid w:val="00C56E8E"/>
    <w:rsid w:val="00C57E36"/>
    <w:rsid w:val="00C57F42"/>
    <w:rsid w:val="00C60F85"/>
    <w:rsid w:val="00C61FE9"/>
    <w:rsid w:val="00C678CA"/>
    <w:rsid w:val="00C727B8"/>
    <w:rsid w:val="00C73701"/>
    <w:rsid w:val="00C73CE0"/>
    <w:rsid w:val="00C757B3"/>
    <w:rsid w:val="00C76B1F"/>
    <w:rsid w:val="00C80183"/>
    <w:rsid w:val="00C83AA5"/>
    <w:rsid w:val="00C83DF2"/>
    <w:rsid w:val="00C83EB2"/>
    <w:rsid w:val="00C858A6"/>
    <w:rsid w:val="00C85D65"/>
    <w:rsid w:val="00C862B6"/>
    <w:rsid w:val="00C90772"/>
    <w:rsid w:val="00C91A83"/>
    <w:rsid w:val="00C920A2"/>
    <w:rsid w:val="00CA2006"/>
    <w:rsid w:val="00CA596C"/>
    <w:rsid w:val="00CB0844"/>
    <w:rsid w:val="00CB5464"/>
    <w:rsid w:val="00CB596B"/>
    <w:rsid w:val="00CB5A5B"/>
    <w:rsid w:val="00CB6908"/>
    <w:rsid w:val="00CB6F38"/>
    <w:rsid w:val="00CD060A"/>
    <w:rsid w:val="00CD0C48"/>
    <w:rsid w:val="00CD5190"/>
    <w:rsid w:val="00CD76BC"/>
    <w:rsid w:val="00CE0D9D"/>
    <w:rsid w:val="00CE1A8F"/>
    <w:rsid w:val="00CE606A"/>
    <w:rsid w:val="00CE6196"/>
    <w:rsid w:val="00CF2E0F"/>
    <w:rsid w:val="00CF57A2"/>
    <w:rsid w:val="00CF593A"/>
    <w:rsid w:val="00CF7F98"/>
    <w:rsid w:val="00D041E6"/>
    <w:rsid w:val="00D047C2"/>
    <w:rsid w:val="00D0712E"/>
    <w:rsid w:val="00D10FE8"/>
    <w:rsid w:val="00D15740"/>
    <w:rsid w:val="00D1797B"/>
    <w:rsid w:val="00D23E7F"/>
    <w:rsid w:val="00D27103"/>
    <w:rsid w:val="00D311F1"/>
    <w:rsid w:val="00D31291"/>
    <w:rsid w:val="00D32677"/>
    <w:rsid w:val="00D35236"/>
    <w:rsid w:val="00D37009"/>
    <w:rsid w:val="00D40CE9"/>
    <w:rsid w:val="00D40F5D"/>
    <w:rsid w:val="00D41209"/>
    <w:rsid w:val="00D4550A"/>
    <w:rsid w:val="00D513B3"/>
    <w:rsid w:val="00D559A1"/>
    <w:rsid w:val="00D55EA3"/>
    <w:rsid w:val="00D56795"/>
    <w:rsid w:val="00D56F14"/>
    <w:rsid w:val="00D61386"/>
    <w:rsid w:val="00D6143F"/>
    <w:rsid w:val="00D631EA"/>
    <w:rsid w:val="00D63476"/>
    <w:rsid w:val="00D63930"/>
    <w:rsid w:val="00D63BD6"/>
    <w:rsid w:val="00D6637C"/>
    <w:rsid w:val="00D66F4F"/>
    <w:rsid w:val="00D67FF7"/>
    <w:rsid w:val="00D70B38"/>
    <w:rsid w:val="00D75B2B"/>
    <w:rsid w:val="00D75F38"/>
    <w:rsid w:val="00D760B7"/>
    <w:rsid w:val="00D77A30"/>
    <w:rsid w:val="00D8197E"/>
    <w:rsid w:val="00D81D1F"/>
    <w:rsid w:val="00D83C27"/>
    <w:rsid w:val="00D83DB8"/>
    <w:rsid w:val="00D904C0"/>
    <w:rsid w:val="00D90CE1"/>
    <w:rsid w:val="00D911B0"/>
    <w:rsid w:val="00D91850"/>
    <w:rsid w:val="00D91B3A"/>
    <w:rsid w:val="00D9503F"/>
    <w:rsid w:val="00D97E03"/>
    <w:rsid w:val="00DA0E1F"/>
    <w:rsid w:val="00DA4E1A"/>
    <w:rsid w:val="00DB2C9C"/>
    <w:rsid w:val="00DC334B"/>
    <w:rsid w:val="00DC354C"/>
    <w:rsid w:val="00DC40A6"/>
    <w:rsid w:val="00DC50BD"/>
    <w:rsid w:val="00DC582B"/>
    <w:rsid w:val="00DD32E9"/>
    <w:rsid w:val="00DD5172"/>
    <w:rsid w:val="00DE0152"/>
    <w:rsid w:val="00DE2A6E"/>
    <w:rsid w:val="00DE527F"/>
    <w:rsid w:val="00DE5E00"/>
    <w:rsid w:val="00DE6C53"/>
    <w:rsid w:val="00DF4554"/>
    <w:rsid w:val="00DF477D"/>
    <w:rsid w:val="00DF77FF"/>
    <w:rsid w:val="00E02A51"/>
    <w:rsid w:val="00E037DC"/>
    <w:rsid w:val="00E04CDF"/>
    <w:rsid w:val="00E050D0"/>
    <w:rsid w:val="00E13FFD"/>
    <w:rsid w:val="00E140F4"/>
    <w:rsid w:val="00E157F5"/>
    <w:rsid w:val="00E15C45"/>
    <w:rsid w:val="00E1674E"/>
    <w:rsid w:val="00E20000"/>
    <w:rsid w:val="00E22ED1"/>
    <w:rsid w:val="00E241A0"/>
    <w:rsid w:val="00E24BA2"/>
    <w:rsid w:val="00E26940"/>
    <w:rsid w:val="00E26F47"/>
    <w:rsid w:val="00E30D31"/>
    <w:rsid w:val="00E32787"/>
    <w:rsid w:val="00E37456"/>
    <w:rsid w:val="00E40A34"/>
    <w:rsid w:val="00E42302"/>
    <w:rsid w:val="00E42CBE"/>
    <w:rsid w:val="00E43201"/>
    <w:rsid w:val="00E468C5"/>
    <w:rsid w:val="00E573B3"/>
    <w:rsid w:val="00E63286"/>
    <w:rsid w:val="00E66A52"/>
    <w:rsid w:val="00E674F2"/>
    <w:rsid w:val="00E70504"/>
    <w:rsid w:val="00E7317C"/>
    <w:rsid w:val="00E7355E"/>
    <w:rsid w:val="00E73569"/>
    <w:rsid w:val="00E75A0D"/>
    <w:rsid w:val="00E77D94"/>
    <w:rsid w:val="00E80CE4"/>
    <w:rsid w:val="00E827A0"/>
    <w:rsid w:val="00E83B86"/>
    <w:rsid w:val="00E8556C"/>
    <w:rsid w:val="00E86598"/>
    <w:rsid w:val="00E92CD7"/>
    <w:rsid w:val="00E94F0F"/>
    <w:rsid w:val="00E95D1A"/>
    <w:rsid w:val="00E96818"/>
    <w:rsid w:val="00E975A2"/>
    <w:rsid w:val="00E97E3D"/>
    <w:rsid w:val="00EA575D"/>
    <w:rsid w:val="00EA6AD1"/>
    <w:rsid w:val="00EA73DD"/>
    <w:rsid w:val="00EB0CF4"/>
    <w:rsid w:val="00EB183C"/>
    <w:rsid w:val="00EB2184"/>
    <w:rsid w:val="00EB26DF"/>
    <w:rsid w:val="00EB2B70"/>
    <w:rsid w:val="00EB4702"/>
    <w:rsid w:val="00EB4F40"/>
    <w:rsid w:val="00EB4F6C"/>
    <w:rsid w:val="00EB692F"/>
    <w:rsid w:val="00EC2367"/>
    <w:rsid w:val="00EC350C"/>
    <w:rsid w:val="00EC49DC"/>
    <w:rsid w:val="00EC6187"/>
    <w:rsid w:val="00ED00AE"/>
    <w:rsid w:val="00ED0160"/>
    <w:rsid w:val="00ED20C4"/>
    <w:rsid w:val="00ED36DA"/>
    <w:rsid w:val="00ED529B"/>
    <w:rsid w:val="00ED5DE1"/>
    <w:rsid w:val="00EE0C68"/>
    <w:rsid w:val="00EE1539"/>
    <w:rsid w:val="00EE2BC2"/>
    <w:rsid w:val="00EE36B9"/>
    <w:rsid w:val="00EE56C3"/>
    <w:rsid w:val="00EF1492"/>
    <w:rsid w:val="00EF4EEB"/>
    <w:rsid w:val="00F02537"/>
    <w:rsid w:val="00F0497F"/>
    <w:rsid w:val="00F055AB"/>
    <w:rsid w:val="00F1042D"/>
    <w:rsid w:val="00F12375"/>
    <w:rsid w:val="00F201B4"/>
    <w:rsid w:val="00F20BFD"/>
    <w:rsid w:val="00F221FF"/>
    <w:rsid w:val="00F2732C"/>
    <w:rsid w:val="00F316F4"/>
    <w:rsid w:val="00F34C41"/>
    <w:rsid w:val="00F35B3A"/>
    <w:rsid w:val="00F35BB0"/>
    <w:rsid w:val="00F36A4C"/>
    <w:rsid w:val="00F41061"/>
    <w:rsid w:val="00F4744F"/>
    <w:rsid w:val="00F63507"/>
    <w:rsid w:val="00F65E09"/>
    <w:rsid w:val="00F6733D"/>
    <w:rsid w:val="00F700E7"/>
    <w:rsid w:val="00F73013"/>
    <w:rsid w:val="00F76C3E"/>
    <w:rsid w:val="00F8030D"/>
    <w:rsid w:val="00F81E83"/>
    <w:rsid w:val="00F8211A"/>
    <w:rsid w:val="00F836A4"/>
    <w:rsid w:val="00F83FDB"/>
    <w:rsid w:val="00F878F7"/>
    <w:rsid w:val="00F91804"/>
    <w:rsid w:val="00F93F2F"/>
    <w:rsid w:val="00F9683D"/>
    <w:rsid w:val="00FA0024"/>
    <w:rsid w:val="00FA0CCA"/>
    <w:rsid w:val="00FA1947"/>
    <w:rsid w:val="00FA28DF"/>
    <w:rsid w:val="00FA4D0E"/>
    <w:rsid w:val="00FA6133"/>
    <w:rsid w:val="00FB0576"/>
    <w:rsid w:val="00FB1E93"/>
    <w:rsid w:val="00FB4B42"/>
    <w:rsid w:val="00FC1486"/>
    <w:rsid w:val="00FC1B00"/>
    <w:rsid w:val="00FC2DA7"/>
    <w:rsid w:val="00FC79DD"/>
    <w:rsid w:val="00FD5257"/>
    <w:rsid w:val="00FE074F"/>
    <w:rsid w:val="00FE0CFB"/>
    <w:rsid w:val="00FE294F"/>
    <w:rsid w:val="00FF7AD5"/>
    <w:rsid w:val="024118CC"/>
    <w:rsid w:val="025AF148"/>
    <w:rsid w:val="0338AFC1"/>
    <w:rsid w:val="03DE9025"/>
    <w:rsid w:val="03FCBF82"/>
    <w:rsid w:val="04144FB1"/>
    <w:rsid w:val="041A72D8"/>
    <w:rsid w:val="0440AEFD"/>
    <w:rsid w:val="049A9F69"/>
    <w:rsid w:val="04B7A25A"/>
    <w:rsid w:val="0549F795"/>
    <w:rsid w:val="05CC1B66"/>
    <w:rsid w:val="0689DF09"/>
    <w:rsid w:val="06B1B697"/>
    <w:rsid w:val="06DD5391"/>
    <w:rsid w:val="0703FE80"/>
    <w:rsid w:val="07A5EFEB"/>
    <w:rsid w:val="0A2AE263"/>
    <w:rsid w:val="0BC73E4E"/>
    <w:rsid w:val="0BE8E3F2"/>
    <w:rsid w:val="0D0387E1"/>
    <w:rsid w:val="0D640C40"/>
    <w:rsid w:val="0D845DF7"/>
    <w:rsid w:val="0D99C4D2"/>
    <w:rsid w:val="0DED3DD2"/>
    <w:rsid w:val="0E05046E"/>
    <w:rsid w:val="0E2D94E9"/>
    <w:rsid w:val="0E6DFDAA"/>
    <w:rsid w:val="0EB5CA69"/>
    <w:rsid w:val="0F4F2AFD"/>
    <w:rsid w:val="0F8938BB"/>
    <w:rsid w:val="0FA2761A"/>
    <w:rsid w:val="0FFFCDB4"/>
    <w:rsid w:val="10DBB9C0"/>
    <w:rsid w:val="10DBD8B5"/>
    <w:rsid w:val="11324C10"/>
    <w:rsid w:val="11507A11"/>
    <w:rsid w:val="119DF900"/>
    <w:rsid w:val="11AD92EA"/>
    <w:rsid w:val="11B48A4B"/>
    <w:rsid w:val="11FDD3B9"/>
    <w:rsid w:val="120425AB"/>
    <w:rsid w:val="1295079D"/>
    <w:rsid w:val="12EF4BBA"/>
    <w:rsid w:val="13364D58"/>
    <w:rsid w:val="138F072F"/>
    <w:rsid w:val="13905278"/>
    <w:rsid w:val="144356F9"/>
    <w:rsid w:val="148242B0"/>
    <w:rsid w:val="14E1EFE6"/>
    <w:rsid w:val="15A81CF1"/>
    <w:rsid w:val="16248E40"/>
    <w:rsid w:val="16D180C2"/>
    <w:rsid w:val="1767D99C"/>
    <w:rsid w:val="17D599AC"/>
    <w:rsid w:val="180A37D6"/>
    <w:rsid w:val="1834ED79"/>
    <w:rsid w:val="1885FDED"/>
    <w:rsid w:val="18D487B6"/>
    <w:rsid w:val="18DF14AE"/>
    <w:rsid w:val="190A0AA1"/>
    <w:rsid w:val="1928E6DD"/>
    <w:rsid w:val="193244CB"/>
    <w:rsid w:val="196EA70D"/>
    <w:rsid w:val="1991DBC4"/>
    <w:rsid w:val="19AD4675"/>
    <w:rsid w:val="19C7FC55"/>
    <w:rsid w:val="19D1DA32"/>
    <w:rsid w:val="19FB6FBE"/>
    <w:rsid w:val="1A992E3E"/>
    <w:rsid w:val="1BA07178"/>
    <w:rsid w:val="1C222EF3"/>
    <w:rsid w:val="1C29A75E"/>
    <w:rsid w:val="1C734435"/>
    <w:rsid w:val="1CFAB253"/>
    <w:rsid w:val="1D52099E"/>
    <w:rsid w:val="1DAB543E"/>
    <w:rsid w:val="1DC86D17"/>
    <w:rsid w:val="1E556482"/>
    <w:rsid w:val="1E75D75A"/>
    <w:rsid w:val="1E8D76B8"/>
    <w:rsid w:val="1EB931D4"/>
    <w:rsid w:val="1ED71CF7"/>
    <w:rsid w:val="20868E6F"/>
    <w:rsid w:val="20EB0C7E"/>
    <w:rsid w:val="2312E310"/>
    <w:rsid w:val="2325F3AB"/>
    <w:rsid w:val="23BCEBE0"/>
    <w:rsid w:val="2458A2A1"/>
    <w:rsid w:val="24882882"/>
    <w:rsid w:val="24AE4BC3"/>
    <w:rsid w:val="24F7CFEC"/>
    <w:rsid w:val="266D03B8"/>
    <w:rsid w:val="269ED7CA"/>
    <w:rsid w:val="26C01F3D"/>
    <w:rsid w:val="277A83D9"/>
    <w:rsid w:val="27C4FDEB"/>
    <w:rsid w:val="285AADB0"/>
    <w:rsid w:val="28777D4C"/>
    <w:rsid w:val="28E9BB5F"/>
    <w:rsid w:val="294A3790"/>
    <w:rsid w:val="29CFDF99"/>
    <w:rsid w:val="2A06D0F8"/>
    <w:rsid w:val="2A57942A"/>
    <w:rsid w:val="2B851C2D"/>
    <w:rsid w:val="2BEB2CF9"/>
    <w:rsid w:val="2F08610D"/>
    <w:rsid w:val="2F44200C"/>
    <w:rsid w:val="30554F29"/>
    <w:rsid w:val="30570A41"/>
    <w:rsid w:val="3183B350"/>
    <w:rsid w:val="31AD9220"/>
    <w:rsid w:val="3232D8EF"/>
    <w:rsid w:val="324804B6"/>
    <w:rsid w:val="3262FD48"/>
    <w:rsid w:val="32DC470C"/>
    <w:rsid w:val="332BBBC2"/>
    <w:rsid w:val="33BF0284"/>
    <w:rsid w:val="342601B5"/>
    <w:rsid w:val="3509BCE9"/>
    <w:rsid w:val="35319EA1"/>
    <w:rsid w:val="3554A70E"/>
    <w:rsid w:val="3582CDA3"/>
    <w:rsid w:val="3662923B"/>
    <w:rsid w:val="368632D0"/>
    <w:rsid w:val="3723AEC7"/>
    <w:rsid w:val="37F2B7CD"/>
    <w:rsid w:val="385C52FB"/>
    <w:rsid w:val="38C24008"/>
    <w:rsid w:val="38D1517A"/>
    <w:rsid w:val="38E8B125"/>
    <w:rsid w:val="392539BB"/>
    <w:rsid w:val="394951B6"/>
    <w:rsid w:val="39B38D30"/>
    <w:rsid w:val="39E6843B"/>
    <w:rsid w:val="3A7EADC5"/>
    <w:rsid w:val="3A860C98"/>
    <w:rsid w:val="3A868C98"/>
    <w:rsid w:val="3AE02BA7"/>
    <w:rsid w:val="3BCEC470"/>
    <w:rsid w:val="3BD3E338"/>
    <w:rsid w:val="3BECC8D4"/>
    <w:rsid w:val="3C0E4BA7"/>
    <w:rsid w:val="3C2C577C"/>
    <w:rsid w:val="3C93C826"/>
    <w:rsid w:val="3CB50A5D"/>
    <w:rsid w:val="3CD4A0DE"/>
    <w:rsid w:val="3D2F014E"/>
    <w:rsid w:val="3E8E670D"/>
    <w:rsid w:val="3EBF588A"/>
    <w:rsid w:val="3F4515EF"/>
    <w:rsid w:val="41032BC1"/>
    <w:rsid w:val="4224781B"/>
    <w:rsid w:val="42DD28EE"/>
    <w:rsid w:val="42DF4AE4"/>
    <w:rsid w:val="431E7802"/>
    <w:rsid w:val="431F671E"/>
    <w:rsid w:val="433DBC3F"/>
    <w:rsid w:val="43C289B6"/>
    <w:rsid w:val="43E440AE"/>
    <w:rsid w:val="43EA22C2"/>
    <w:rsid w:val="451DE07A"/>
    <w:rsid w:val="459DB6C8"/>
    <w:rsid w:val="459EFAE8"/>
    <w:rsid w:val="45E73FB1"/>
    <w:rsid w:val="4628CCD8"/>
    <w:rsid w:val="463F05A0"/>
    <w:rsid w:val="46D5B594"/>
    <w:rsid w:val="481D48EE"/>
    <w:rsid w:val="48325EAD"/>
    <w:rsid w:val="4833D499"/>
    <w:rsid w:val="485B1B84"/>
    <w:rsid w:val="4860A8D3"/>
    <w:rsid w:val="487B29B5"/>
    <w:rsid w:val="489E7444"/>
    <w:rsid w:val="49382666"/>
    <w:rsid w:val="4953F9B6"/>
    <w:rsid w:val="49F490E4"/>
    <w:rsid w:val="4A285022"/>
    <w:rsid w:val="4A90BDFC"/>
    <w:rsid w:val="4AEA3F99"/>
    <w:rsid w:val="4AFDF39B"/>
    <w:rsid w:val="4B4D11F1"/>
    <w:rsid w:val="4C6C28E7"/>
    <w:rsid w:val="4CCB7628"/>
    <w:rsid w:val="4D4D7680"/>
    <w:rsid w:val="4DA59B59"/>
    <w:rsid w:val="4DBB0A3B"/>
    <w:rsid w:val="4E02538E"/>
    <w:rsid w:val="4E65FF36"/>
    <w:rsid w:val="4E88757B"/>
    <w:rsid w:val="4F3DDA78"/>
    <w:rsid w:val="4F63F502"/>
    <w:rsid w:val="4FC0B3FD"/>
    <w:rsid w:val="5116285D"/>
    <w:rsid w:val="51314D2E"/>
    <w:rsid w:val="5190DE3A"/>
    <w:rsid w:val="5199275D"/>
    <w:rsid w:val="5208E39E"/>
    <w:rsid w:val="52B40808"/>
    <w:rsid w:val="54150A41"/>
    <w:rsid w:val="54CD039B"/>
    <w:rsid w:val="550B52DE"/>
    <w:rsid w:val="55359612"/>
    <w:rsid w:val="55DE7FC1"/>
    <w:rsid w:val="56350B2E"/>
    <w:rsid w:val="5665D07C"/>
    <w:rsid w:val="567D1E22"/>
    <w:rsid w:val="569D2049"/>
    <w:rsid w:val="56C8B940"/>
    <w:rsid w:val="573D3D26"/>
    <w:rsid w:val="5754787B"/>
    <w:rsid w:val="57B7C6AD"/>
    <w:rsid w:val="57D69223"/>
    <w:rsid w:val="5A5EF6D3"/>
    <w:rsid w:val="5A94E866"/>
    <w:rsid w:val="5AEED328"/>
    <w:rsid w:val="5AF2C991"/>
    <w:rsid w:val="5B95A263"/>
    <w:rsid w:val="5BA4B57D"/>
    <w:rsid w:val="5BBBBA11"/>
    <w:rsid w:val="5C1545D6"/>
    <w:rsid w:val="5EC84BE8"/>
    <w:rsid w:val="5ED8745A"/>
    <w:rsid w:val="5FF0C32C"/>
    <w:rsid w:val="5FF6B1EE"/>
    <w:rsid w:val="6019C1BE"/>
    <w:rsid w:val="60DD1F6C"/>
    <w:rsid w:val="60E25157"/>
    <w:rsid w:val="6100EA2F"/>
    <w:rsid w:val="6184C6EB"/>
    <w:rsid w:val="61C64E5C"/>
    <w:rsid w:val="61D127CF"/>
    <w:rsid w:val="6274CA48"/>
    <w:rsid w:val="633614EA"/>
    <w:rsid w:val="636FE6B8"/>
    <w:rsid w:val="63DAC954"/>
    <w:rsid w:val="64345B16"/>
    <w:rsid w:val="645123DB"/>
    <w:rsid w:val="64C88533"/>
    <w:rsid w:val="65835730"/>
    <w:rsid w:val="65951354"/>
    <w:rsid w:val="65BB555C"/>
    <w:rsid w:val="671DB0A0"/>
    <w:rsid w:val="6756BDFA"/>
    <w:rsid w:val="6762EF90"/>
    <w:rsid w:val="676D5C8B"/>
    <w:rsid w:val="67E74927"/>
    <w:rsid w:val="6819DAF0"/>
    <w:rsid w:val="682740F6"/>
    <w:rsid w:val="6868EA72"/>
    <w:rsid w:val="69318DA6"/>
    <w:rsid w:val="698A5033"/>
    <w:rsid w:val="69DABED2"/>
    <w:rsid w:val="6A5C53C4"/>
    <w:rsid w:val="6A8ADF93"/>
    <w:rsid w:val="6B15F795"/>
    <w:rsid w:val="6B1938FD"/>
    <w:rsid w:val="6B20B4F2"/>
    <w:rsid w:val="6B2C6023"/>
    <w:rsid w:val="6B33D2F3"/>
    <w:rsid w:val="6BD1FA81"/>
    <w:rsid w:val="6C90A9C5"/>
    <w:rsid w:val="6CA49316"/>
    <w:rsid w:val="6CD70EC0"/>
    <w:rsid w:val="6D0AA22D"/>
    <w:rsid w:val="6D2B580C"/>
    <w:rsid w:val="6D3A9F84"/>
    <w:rsid w:val="6D94307B"/>
    <w:rsid w:val="6DBD16D4"/>
    <w:rsid w:val="6DF99458"/>
    <w:rsid w:val="6E136401"/>
    <w:rsid w:val="6F26880F"/>
    <w:rsid w:val="6F38A216"/>
    <w:rsid w:val="6FDF8DF7"/>
    <w:rsid w:val="6FE6EBAF"/>
    <w:rsid w:val="7035C305"/>
    <w:rsid w:val="707102AA"/>
    <w:rsid w:val="713F3E2B"/>
    <w:rsid w:val="71A5E84E"/>
    <w:rsid w:val="71D291DA"/>
    <w:rsid w:val="7279B404"/>
    <w:rsid w:val="72F047D5"/>
    <w:rsid w:val="72F17480"/>
    <w:rsid w:val="7319DF11"/>
    <w:rsid w:val="73982BA2"/>
    <w:rsid w:val="73DC1BA1"/>
    <w:rsid w:val="752C890C"/>
    <w:rsid w:val="75ED1692"/>
    <w:rsid w:val="7648BFD3"/>
    <w:rsid w:val="769C9A58"/>
    <w:rsid w:val="769EFF83"/>
    <w:rsid w:val="76FA39A3"/>
    <w:rsid w:val="7717F5B9"/>
    <w:rsid w:val="7730BC26"/>
    <w:rsid w:val="7743ED71"/>
    <w:rsid w:val="77A48759"/>
    <w:rsid w:val="77B94FE0"/>
    <w:rsid w:val="782D62A7"/>
    <w:rsid w:val="787FC161"/>
    <w:rsid w:val="7893580A"/>
    <w:rsid w:val="78D18D58"/>
    <w:rsid w:val="7936F5AF"/>
    <w:rsid w:val="7A601C51"/>
    <w:rsid w:val="7AC649AF"/>
    <w:rsid w:val="7B4010DD"/>
    <w:rsid w:val="7CE77A61"/>
    <w:rsid w:val="7D1C2E86"/>
    <w:rsid w:val="7D442D54"/>
    <w:rsid w:val="7E3E5B39"/>
    <w:rsid w:val="7E7DB084"/>
    <w:rsid w:val="7E9A31E5"/>
    <w:rsid w:val="7EAEE895"/>
    <w:rsid w:val="7F2C17E1"/>
    <w:rsid w:val="7F305BAE"/>
    <w:rsid w:val="7F3CEEB8"/>
    <w:rsid w:val="7F501A36"/>
    <w:rsid w:val="7F52BFFA"/>
    <w:rsid w:val="7F7BE947"/>
    <w:rsid w:val="7F9D2563"/>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14A0D8"/>
  <w15:chartTrackingRefBased/>
  <w15:docId w15:val="{6FEF66BF-5F3F-4222-82A4-C3F0616AF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B4670F"/>
    <w:pPr>
      <w:autoSpaceDE w:val="0"/>
      <w:autoSpaceDN w:val="0"/>
      <w:adjustRightInd w:val="0"/>
      <w:spacing w:before="4" w:after="0" w:line="240" w:lineRule="auto"/>
      <w:ind w:left="239"/>
      <w:outlineLvl w:val="0"/>
    </w:pPr>
    <w:rPr>
      <w:rFonts w:ascii="Calibri" w:hAnsi="Calibri" w:cs="Calibri"/>
      <w:b/>
      <w:bCs/>
      <w:sz w:val="28"/>
      <w:szCs w:val="28"/>
    </w:rPr>
  </w:style>
  <w:style w:type="paragraph" w:styleId="Heading2">
    <w:name w:val="heading 2"/>
    <w:basedOn w:val="Normal"/>
    <w:next w:val="Normal"/>
    <w:link w:val="Heading2Char"/>
    <w:uiPriority w:val="1"/>
    <w:qFormat/>
    <w:rsid w:val="00B4670F"/>
    <w:pPr>
      <w:autoSpaceDE w:val="0"/>
      <w:autoSpaceDN w:val="0"/>
      <w:adjustRightInd w:val="0"/>
      <w:spacing w:after="0" w:line="240" w:lineRule="auto"/>
      <w:ind w:left="239"/>
      <w:outlineLvl w:val="1"/>
    </w:pPr>
    <w:rPr>
      <w:rFonts w:ascii="Calibri" w:hAnsi="Calibri" w:cs="Calibri"/>
      <w:b/>
      <w:bCs/>
      <w:sz w:val="24"/>
      <w:szCs w:val="24"/>
    </w:rPr>
  </w:style>
  <w:style w:type="paragraph" w:styleId="Heading3">
    <w:name w:val="heading 3"/>
    <w:basedOn w:val="Normal"/>
    <w:next w:val="Normal"/>
    <w:link w:val="Heading3Char"/>
    <w:uiPriority w:val="9"/>
    <w:semiHidden/>
    <w:unhideWhenUsed/>
    <w:qFormat/>
    <w:rsid w:val="009964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4670F"/>
    <w:rPr>
      <w:rFonts w:ascii="Calibri" w:hAnsi="Calibri" w:cs="Calibri"/>
      <w:b/>
      <w:bCs/>
      <w:sz w:val="28"/>
      <w:szCs w:val="28"/>
    </w:rPr>
  </w:style>
  <w:style w:type="character" w:customStyle="1" w:styleId="Heading2Char">
    <w:name w:val="Heading 2 Char"/>
    <w:basedOn w:val="DefaultParagraphFont"/>
    <w:link w:val="Heading2"/>
    <w:uiPriority w:val="1"/>
    <w:rsid w:val="00B4670F"/>
    <w:rPr>
      <w:rFonts w:ascii="Calibri" w:hAnsi="Calibri" w:cs="Calibri"/>
      <w:b/>
      <w:bCs/>
      <w:sz w:val="24"/>
      <w:szCs w:val="24"/>
    </w:rPr>
  </w:style>
  <w:style w:type="paragraph" w:styleId="BodyText">
    <w:name w:val="Body Text"/>
    <w:basedOn w:val="Normal"/>
    <w:link w:val="BodyTextChar"/>
    <w:uiPriority w:val="1"/>
    <w:qFormat/>
    <w:rsid w:val="00B4670F"/>
    <w:pPr>
      <w:autoSpaceDE w:val="0"/>
      <w:autoSpaceDN w:val="0"/>
      <w:adjustRightInd w:val="0"/>
      <w:spacing w:after="0" w:line="240" w:lineRule="auto"/>
    </w:pPr>
    <w:rPr>
      <w:rFonts w:ascii="Calibri" w:hAnsi="Calibri" w:cs="Calibri"/>
      <w:sz w:val="24"/>
      <w:szCs w:val="24"/>
    </w:rPr>
  </w:style>
  <w:style w:type="character" w:customStyle="1" w:styleId="BodyTextChar">
    <w:name w:val="Body Text Char"/>
    <w:basedOn w:val="DefaultParagraphFont"/>
    <w:link w:val="BodyText"/>
    <w:uiPriority w:val="1"/>
    <w:rsid w:val="00B4670F"/>
    <w:rPr>
      <w:rFonts w:ascii="Calibri" w:hAnsi="Calibri" w:cs="Calibri"/>
      <w:sz w:val="24"/>
      <w:szCs w:val="24"/>
    </w:rPr>
  </w:style>
  <w:style w:type="paragraph" w:styleId="ListParagraph">
    <w:name w:val="List Paragraph"/>
    <w:aliases w:val="123 List Paragraph,Bullet,Bullet Paragraph,Bullet paras,Bullets,Ha,List Paragraph (numbered (a)),List Paragraph1,List_Paragraph,Liste 1,Main numbered paragraph,Multilevel para_II,Numbered List Paragraph,References,ReferencesCxSpLast,Body"/>
    <w:basedOn w:val="Normal"/>
    <w:link w:val="ListParagraphChar"/>
    <w:uiPriority w:val="34"/>
    <w:qFormat/>
    <w:rsid w:val="00B4670F"/>
    <w:pPr>
      <w:autoSpaceDE w:val="0"/>
      <w:autoSpaceDN w:val="0"/>
      <w:adjustRightInd w:val="0"/>
      <w:spacing w:after="0" w:line="240" w:lineRule="auto"/>
      <w:ind w:left="959" w:hanging="360"/>
    </w:pPr>
    <w:rPr>
      <w:rFonts w:ascii="Calibri" w:hAnsi="Calibri" w:cs="Calibri"/>
      <w:sz w:val="24"/>
      <w:szCs w:val="24"/>
    </w:rPr>
  </w:style>
  <w:style w:type="paragraph" w:customStyle="1" w:styleId="TableParagraph">
    <w:name w:val="Table Paragraph"/>
    <w:basedOn w:val="Normal"/>
    <w:uiPriority w:val="1"/>
    <w:qFormat/>
    <w:rsid w:val="00B4670F"/>
    <w:pPr>
      <w:autoSpaceDE w:val="0"/>
      <w:autoSpaceDN w:val="0"/>
      <w:adjustRightInd w:val="0"/>
      <w:spacing w:after="0" w:line="240" w:lineRule="auto"/>
      <w:ind w:left="108"/>
    </w:pPr>
    <w:rPr>
      <w:rFonts w:ascii="Calibri" w:hAnsi="Calibri" w:cs="Calibri"/>
      <w:sz w:val="24"/>
      <w:szCs w:val="24"/>
    </w:rPr>
  </w:style>
  <w:style w:type="paragraph" w:styleId="FootnoteText">
    <w:name w:val="footnote text"/>
    <w:aliases w:val="Boston 10,FOOTNOTES,Font: Geneva 9,Footnote,Footnote Text Char Char,Footnote Text Char1,Footnote Text Char1 Char Char,Footnote Text Char2 Char,Footnote text,Geneva 9,Texto nota pie Car,f,fn,footnote text,ft,single space,text,ADB,Char Char"/>
    <w:basedOn w:val="Normal"/>
    <w:link w:val="FootnoteTextChar"/>
    <w:uiPriority w:val="99"/>
    <w:unhideWhenUsed/>
    <w:qFormat/>
    <w:rsid w:val="002368C0"/>
    <w:pPr>
      <w:spacing w:after="0" w:line="240" w:lineRule="auto"/>
    </w:pPr>
    <w:rPr>
      <w:sz w:val="20"/>
      <w:szCs w:val="20"/>
    </w:rPr>
  </w:style>
  <w:style w:type="character" w:customStyle="1" w:styleId="FootnoteTextChar">
    <w:name w:val="Footnote Text Char"/>
    <w:aliases w:val="Boston 10 Char,FOOTNOTES Char,Font: Geneva 9 Char,Footnote Char,Footnote Text Char Char Char,Footnote Text Char1 Char,Footnote Text Char1 Char Char Char,Footnote Text Char2 Char Char,Footnote text Char,Geneva 9 Char,f Char,fn Char"/>
    <w:basedOn w:val="DefaultParagraphFont"/>
    <w:link w:val="FootnoteText"/>
    <w:uiPriority w:val="99"/>
    <w:qFormat/>
    <w:rsid w:val="002368C0"/>
    <w:rPr>
      <w:sz w:val="20"/>
      <w:szCs w:val="20"/>
    </w:rPr>
  </w:style>
  <w:style w:type="character" w:styleId="FootnoteReference">
    <w:name w:val="footnote reference"/>
    <w:aliases w:val="ftref,fr,16 Point,Superscript 6 Point,BVI fnr,Carattere Char Carattere Carattere Char Carattere Char Carattere Char Char Char Char Char Char,ftref Char, BVI fnr,Footnote Reference Number,Footnote Reference Superscript,Footnote symbol"/>
    <w:basedOn w:val="DefaultParagraphFont"/>
    <w:link w:val="CarattereCharCarattereCarattereCharCarattereCharCarattereCharCharCharCharChar"/>
    <w:uiPriority w:val="99"/>
    <w:unhideWhenUsed/>
    <w:qFormat/>
    <w:rsid w:val="002368C0"/>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uiPriority w:val="99"/>
    <w:rsid w:val="002368C0"/>
    <w:pPr>
      <w:spacing w:before="120" w:line="240" w:lineRule="exact"/>
    </w:pPr>
    <w:rPr>
      <w:vertAlign w:val="superscript"/>
    </w:rPr>
  </w:style>
  <w:style w:type="character" w:styleId="CommentReference">
    <w:name w:val="annotation reference"/>
    <w:basedOn w:val="DefaultParagraphFont"/>
    <w:uiPriority w:val="99"/>
    <w:unhideWhenUsed/>
    <w:rsid w:val="001B52E9"/>
    <w:rPr>
      <w:sz w:val="16"/>
      <w:szCs w:val="16"/>
    </w:rPr>
  </w:style>
  <w:style w:type="paragraph" w:styleId="CommentText">
    <w:name w:val="annotation text"/>
    <w:basedOn w:val="Normal"/>
    <w:link w:val="CommentTextChar"/>
    <w:uiPriority w:val="99"/>
    <w:unhideWhenUsed/>
    <w:qFormat/>
    <w:rsid w:val="001B52E9"/>
    <w:pPr>
      <w:spacing w:line="240" w:lineRule="auto"/>
    </w:pPr>
    <w:rPr>
      <w:sz w:val="20"/>
      <w:szCs w:val="20"/>
    </w:rPr>
  </w:style>
  <w:style w:type="character" w:customStyle="1" w:styleId="CommentTextChar">
    <w:name w:val="Comment Text Char"/>
    <w:basedOn w:val="DefaultParagraphFont"/>
    <w:link w:val="CommentText"/>
    <w:uiPriority w:val="99"/>
    <w:rsid w:val="001B52E9"/>
    <w:rPr>
      <w:sz w:val="20"/>
      <w:szCs w:val="20"/>
    </w:rPr>
  </w:style>
  <w:style w:type="paragraph" w:styleId="CommentSubject">
    <w:name w:val="annotation subject"/>
    <w:basedOn w:val="CommentText"/>
    <w:next w:val="CommentText"/>
    <w:link w:val="CommentSubjectChar"/>
    <w:uiPriority w:val="99"/>
    <w:semiHidden/>
    <w:unhideWhenUsed/>
    <w:rsid w:val="001B52E9"/>
    <w:rPr>
      <w:b/>
      <w:bCs/>
    </w:rPr>
  </w:style>
  <w:style w:type="character" w:customStyle="1" w:styleId="CommentSubjectChar">
    <w:name w:val="Comment Subject Char"/>
    <w:basedOn w:val="CommentTextChar"/>
    <w:link w:val="CommentSubject"/>
    <w:uiPriority w:val="99"/>
    <w:semiHidden/>
    <w:rsid w:val="001B52E9"/>
    <w:rPr>
      <w:b/>
      <w:bCs/>
      <w:sz w:val="20"/>
      <w:szCs w:val="20"/>
    </w:rPr>
  </w:style>
  <w:style w:type="character" w:styleId="Hyperlink">
    <w:name w:val="Hyperlink"/>
    <w:uiPriority w:val="99"/>
    <w:unhideWhenUsed/>
    <w:rsid w:val="004A4E91"/>
    <w:rPr>
      <w:color w:val="0000FF"/>
      <w:u w:val="single"/>
    </w:rPr>
  </w:style>
  <w:style w:type="paragraph" w:styleId="Caption">
    <w:name w:val="caption"/>
    <w:aliases w:val="Caption_Tabela,Caption tabela,2,TabelOverskrift,Caption Char Char Char Char Char,Caption Char Char Char,Map,Tabelle,Beschriftung Char,Beschriftung Char1 Char,Beschriftung Char Char Char Char,Beschriftung Char Char1,Beschriftung1,Char1"/>
    <w:basedOn w:val="Normal"/>
    <w:next w:val="Normal"/>
    <w:link w:val="CaptionChar"/>
    <w:uiPriority w:val="35"/>
    <w:unhideWhenUsed/>
    <w:qFormat/>
    <w:rsid w:val="004A4E91"/>
    <w:pPr>
      <w:keepNext/>
      <w:keepLines/>
      <w:spacing w:after="120" w:line="240" w:lineRule="auto"/>
      <w:contextualSpacing/>
      <w:jc w:val="center"/>
    </w:pPr>
    <w:rPr>
      <w:rFonts w:ascii="Times New Roman" w:eastAsia="SimSun" w:hAnsi="Times New Roman" w:cs="Times New Roman"/>
      <w:b/>
      <w:bCs/>
      <w:sz w:val="20"/>
      <w:szCs w:val="20"/>
      <w:lang w:val="x-none" w:eastAsia="x-none"/>
    </w:rPr>
  </w:style>
  <w:style w:type="character" w:customStyle="1" w:styleId="CaptionChar">
    <w:name w:val="Caption Char"/>
    <w:aliases w:val="Caption_Tabela Char,Caption tabela Char,2 Char,TabelOverskrift Char,Caption Char Char Char Char Char Char,Caption Char Char Char Char,Map Char,Tabelle Char,Beschriftung Char Char,Beschriftung Char1 Char Char,Beschriftung Char Char1 Char"/>
    <w:link w:val="Caption"/>
    <w:uiPriority w:val="35"/>
    <w:rsid w:val="004A4E91"/>
    <w:rPr>
      <w:rFonts w:ascii="Times New Roman" w:eastAsia="SimSun" w:hAnsi="Times New Roman" w:cs="Times New Roman"/>
      <w:b/>
      <w:bCs/>
      <w:sz w:val="20"/>
      <w:szCs w:val="20"/>
      <w:lang w:val="x-none" w:eastAsia="x-none"/>
    </w:rPr>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uiPriority w:val="99"/>
    <w:rsid w:val="004A4E91"/>
    <w:pPr>
      <w:keepNext/>
      <w:keepLines/>
      <w:spacing w:line="240" w:lineRule="exact"/>
      <w:contextualSpacing/>
      <w:jc w:val="both"/>
    </w:pPr>
    <w:rPr>
      <w:rFonts w:ascii="Calibri" w:eastAsia="SimSun" w:hAnsi="Calibri" w:cs="Times New Roman"/>
      <w:sz w:val="20"/>
      <w:szCs w:val="20"/>
      <w:vertAlign w:val="superscript"/>
      <w:lang w:val="x-none" w:eastAsia="x-none"/>
    </w:rPr>
  </w:style>
  <w:style w:type="table" w:styleId="TableGrid">
    <w:name w:val="Table Grid"/>
    <w:aliases w:val="Template table,Presenter Notes Table,Presenter Notes Table1,GRM Table,表格样式"/>
    <w:basedOn w:val="TableNormal"/>
    <w:uiPriority w:val="39"/>
    <w:rsid w:val="0000706D"/>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123 List Paragraph Char,Bullet Char,Bullet Paragraph Char,Bullet paras Char,Bullets Char,Ha Char,List Paragraph (numbered (a)) Char,List Paragraph1 Char,List_Paragraph Char,Liste 1 Char,Main numbered paragraph Char,References Char"/>
    <w:link w:val="ListParagraph"/>
    <w:uiPriority w:val="34"/>
    <w:qFormat/>
    <w:locked/>
    <w:rsid w:val="0000706D"/>
    <w:rPr>
      <w:rFonts w:ascii="Calibri" w:hAnsi="Calibri" w:cs="Calibri"/>
      <w:sz w:val="24"/>
      <w:szCs w:val="24"/>
    </w:rPr>
  </w:style>
  <w:style w:type="paragraph" w:styleId="Revision">
    <w:name w:val="Revision"/>
    <w:hidden/>
    <w:uiPriority w:val="99"/>
    <w:semiHidden/>
    <w:rsid w:val="001969BE"/>
    <w:pPr>
      <w:spacing w:after="0" w:line="240" w:lineRule="auto"/>
    </w:pPr>
  </w:style>
  <w:style w:type="character" w:customStyle="1" w:styleId="Heading3Char">
    <w:name w:val="Heading 3 Char"/>
    <w:basedOn w:val="DefaultParagraphFont"/>
    <w:link w:val="Heading3"/>
    <w:uiPriority w:val="9"/>
    <w:semiHidden/>
    <w:rsid w:val="0099645E"/>
    <w:rPr>
      <w:rFonts w:asciiTheme="majorHAnsi" w:eastAsiaTheme="majorEastAsia" w:hAnsiTheme="majorHAnsi" w:cstheme="majorBidi"/>
      <w:color w:val="1F3763" w:themeColor="accent1" w:themeShade="7F"/>
      <w:sz w:val="24"/>
      <w:szCs w:val="24"/>
    </w:rPr>
  </w:style>
  <w:style w:type="numbering" w:customStyle="1" w:styleId="CurrentList1">
    <w:name w:val="Current List1"/>
    <w:uiPriority w:val="99"/>
    <w:rsid w:val="0042225B"/>
    <w:pPr>
      <w:numPr>
        <w:numId w:val="33"/>
      </w:numPr>
    </w:pPr>
  </w:style>
  <w:style w:type="paragraph" w:styleId="Header">
    <w:name w:val="header"/>
    <w:basedOn w:val="Normal"/>
    <w:link w:val="HeaderChar"/>
    <w:uiPriority w:val="99"/>
    <w:unhideWhenUsed/>
    <w:rsid w:val="00DC35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354C"/>
  </w:style>
  <w:style w:type="paragraph" w:styleId="Footer">
    <w:name w:val="footer"/>
    <w:basedOn w:val="Normal"/>
    <w:link w:val="FooterChar"/>
    <w:uiPriority w:val="99"/>
    <w:unhideWhenUsed/>
    <w:rsid w:val="00DC35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54C"/>
  </w:style>
  <w:style w:type="paragraph" w:styleId="NormalWeb">
    <w:name w:val="Normal (Web)"/>
    <w:basedOn w:val="Normal"/>
    <w:uiPriority w:val="99"/>
    <w:unhideWhenUsed/>
    <w:rsid w:val="003F6D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20z78qq9n">
    <w:name w:val="mark20z78qq9n"/>
    <w:basedOn w:val="DefaultParagraphFont"/>
    <w:rsid w:val="004D1343"/>
  </w:style>
  <w:style w:type="numbering" w:customStyle="1" w:styleId="CurrentList2">
    <w:name w:val="Current List2"/>
    <w:uiPriority w:val="99"/>
    <w:rsid w:val="006A5260"/>
    <w:pPr>
      <w:numPr>
        <w:numId w:val="37"/>
      </w:numPr>
    </w:pPr>
  </w:style>
  <w:style w:type="character" w:styleId="Strong">
    <w:name w:val="Strong"/>
    <w:basedOn w:val="DefaultParagraphFont"/>
    <w:uiPriority w:val="22"/>
    <w:qFormat/>
    <w:rsid w:val="00265071"/>
    <w:rPr>
      <w:b/>
      <w:bCs/>
    </w:rPr>
  </w:style>
  <w:style w:type="paragraph" w:styleId="NoSpacing">
    <w:name w:val="No Spacing"/>
    <w:uiPriority w:val="1"/>
    <w:qFormat/>
    <w:rsid w:val="00F1042D"/>
    <w:pPr>
      <w:spacing w:after="0" w:line="240" w:lineRule="auto"/>
    </w:pPr>
  </w:style>
  <w:style w:type="paragraph" w:customStyle="1" w:styleId="xmsonormal">
    <w:name w:val="x_msonormal"/>
    <w:basedOn w:val="Normal"/>
    <w:rsid w:val="00F104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List">
    <w:name w:val="Body List"/>
    <w:basedOn w:val="BodyText"/>
    <w:link w:val="BodyListChar"/>
    <w:qFormat/>
    <w:rsid w:val="00F1042D"/>
    <w:pPr>
      <w:spacing w:after="120"/>
      <w:ind w:left="1440" w:hanging="360"/>
      <w:contextualSpacing/>
      <w:jc w:val="both"/>
    </w:pPr>
    <w:rPr>
      <w:rFonts w:ascii="Times New Roman" w:eastAsia="Times New Roman" w:hAnsi="Times New Roman" w:cs="Times New Roman"/>
      <w:lang w:bidi="km-KH"/>
    </w:rPr>
  </w:style>
  <w:style w:type="character" w:customStyle="1" w:styleId="BodyListChar">
    <w:name w:val="Body List Char"/>
    <w:basedOn w:val="BodyTextChar"/>
    <w:link w:val="BodyList"/>
    <w:rsid w:val="00F1042D"/>
    <w:rPr>
      <w:rFonts w:ascii="Times New Roman" w:eastAsia="Times New Roman" w:hAnsi="Times New Roman" w:cs="Times New Roman"/>
      <w:sz w:val="24"/>
      <w:szCs w:val="24"/>
      <w:lang w:bidi="km-KH"/>
    </w:rPr>
  </w:style>
  <w:style w:type="table" w:styleId="PlainTable2">
    <w:name w:val="Plain Table 2"/>
    <w:basedOn w:val="TableNormal"/>
    <w:uiPriority w:val="42"/>
    <w:rsid w:val="0065437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7F335D"/>
    <w:pPr>
      <w:autoSpaceDE w:val="0"/>
      <w:autoSpaceDN w:val="0"/>
      <w:adjustRightInd w:val="0"/>
      <w:spacing w:after="0" w:line="240" w:lineRule="auto"/>
    </w:pPr>
    <w:rPr>
      <w:rFonts w:ascii="Times New Roman" w:hAnsi="Times New Roman" w:cs="Times New Roman"/>
      <w:color w:val="000000"/>
      <w:sz w:val="24"/>
      <w:szCs w:val="24"/>
      <w:lang w:val="en-GB"/>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
    <w:basedOn w:val="Normal"/>
    <w:uiPriority w:val="99"/>
    <w:rsid w:val="004B5F0D"/>
    <w:pPr>
      <w:spacing w:before="120" w:line="240" w:lineRule="exact"/>
      <w:jc w:val="both"/>
    </w:pPr>
    <w:rPr>
      <w:rFonts w:ascii="Calibri" w:eastAsia="Calibri" w:hAnsi="Calibri" w:cs="Calibri"/>
      <w:vertAlign w:val="superscript"/>
    </w:rPr>
  </w:style>
  <w:style w:type="table" w:styleId="TableGridLight">
    <w:name w:val="Grid Table Light"/>
    <w:basedOn w:val="TableNormal"/>
    <w:uiPriority w:val="40"/>
    <w:rsid w:val="00C343D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CF593A"/>
    <w:pPr>
      <w:keepNext/>
      <w:keepLines/>
      <w:autoSpaceDE/>
      <w:autoSpaceDN/>
      <w:adjustRightInd/>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CF593A"/>
    <w:pPr>
      <w:spacing w:after="100"/>
    </w:pPr>
  </w:style>
  <w:style w:type="paragraph" w:styleId="TOC2">
    <w:name w:val="toc 2"/>
    <w:basedOn w:val="Normal"/>
    <w:next w:val="Normal"/>
    <w:autoRedefine/>
    <w:uiPriority w:val="39"/>
    <w:unhideWhenUsed/>
    <w:rsid w:val="00CF593A"/>
    <w:pPr>
      <w:spacing w:after="100"/>
      <w:ind w:left="220"/>
    </w:pPr>
    <w:rPr>
      <w:rFonts w:eastAsiaTheme="minorEastAsia" w:cs="Times New Roman"/>
    </w:rPr>
  </w:style>
  <w:style w:type="paragraph" w:styleId="TOC3">
    <w:name w:val="toc 3"/>
    <w:basedOn w:val="Normal"/>
    <w:next w:val="Normal"/>
    <w:autoRedefine/>
    <w:uiPriority w:val="39"/>
    <w:unhideWhenUsed/>
    <w:rsid w:val="00CF593A"/>
    <w:pPr>
      <w:spacing w:after="100"/>
      <w:ind w:left="440"/>
    </w:pPr>
    <w:rPr>
      <w:rFonts w:eastAsiaTheme="minorEastAsia" w:cs="Times New Roman"/>
    </w:rPr>
  </w:style>
  <w:style w:type="paragraph" w:styleId="BalloonText">
    <w:name w:val="Balloon Text"/>
    <w:basedOn w:val="Normal"/>
    <w:link w:val="BalloonTextChar"/>
    <w:uiPriority w:val="99"/>
    <w:semiHidden/>
    <w:unhideWhenUsed/>
    <w:rsid w:val="00ED5D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D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252968">
      <w:bodyDiv w:val="1"/>
      <w:marLeft w:val="0"/>
      <w:marRight w:val="0"/>
      <w:marTop w:val="0"/>
      <w:marBottom w:val="0"/>
      <w:divBdr>
        <w:top w:val="none" w:sz="0" w:space="0" w:color="auto"/>
        <w:left w:val="none" w:sz="0" w:space="0" w:color="auto"/>
        <w:bottom w:val="none" w:sz="0" w:space="0" w:color="auto"/>
        <w:right w:val="none" w:sz="0" w:space="0" w:color="auto"/>
      </w:divBdr>
    </w:div>
    <w:div w:id="836460506">
      <w:bodyDiv w:val="1"/>
      <w:marLeft w:val="0"/>
      <w:marRight w:val="0"/>
      <w:marTop w:val="0"/>
      <w:marBottom w:val="0"/>
      <w:divBdr>
        <w:top w:val="none" w:sz="0" w:space="0" w:color="auto"/>
        <w:left w:val="none" w:sz="0" w:space="0" w:color="auto"/>
        <w:bottom w:val="none" w:sz="0" w:space="0" w:color="auto"/>
        <w:right w:val="none" w:sz="0" w:space="0" w:color="auto"/>
      </w:divBdr>
    </w:div>
    <w:div w:id="969284926">
      <w:bodyDiv w:val="1"/>
      <w:marLeft w:val="0"/>
      <w:marRight w:val="0"/>
      <w:marTop w:val="0"/>
      <w:marBottom w:val="0"/>
      <w:divBdr>
        <w:top w:val="none" w:sz="0" w:space="0" w:color="auto"/>
        <w:left w:val="none" w:sz="0" w:space="0" w:color="auto"/>
        <w:bottom w:val="none" w:sz="0" w:space="0" w:color="auto"/>
        <w:right w:val="none" w:sz="0" w:space="0" w:color="auto"/>
      </w:divBdr>
      <w:divsChild>
        <w:div w:id="1721322384">
          <w:marLeft w:val="446"/>
          <w:marRight w:val="0"/>
          <w:marTop w:val="0"/>
          <w:marBottom w:val="0"/>
          <w:divBdr>
            <w:top w:val="none" w:sz="0" w:space="0" w:color="auto"/>
            <w:left w:val="none" w:sz="0" w:space="0" w:color="auto"/>
            <w:bottom w:val="none" w:sz="0" w:space="0" w:color="auto"/>
            <w:right w:val="none" w:sz="0" w:space="0" w:color="auto"/>
          </w:divBdr>
        </w:div>
        <w:div w:id="808323722">
          <w:marLeft w:val="446"/>
          <w:marRight w:val="0"/>
          <w:marTop w:val="0"/>
          <w:marBottom w:val="0"/>
          <w:divBdr>
            <w:top w:val="none" w:sz="0" w:space="0" w:color="auto"/>
            <w:left w:val="none" w:sz="0" w:space="0" w:color="auto"/>
            <w:bottom w:val="none" w:sz="0" w:space="0" w:color="auto"/>
            <w:right w:val="none" w:sz="0" w:space="0" w:color="auto"/>
          </w:divBdr>
        </w:div>
        <w:div w:id="358972066">
          <w:marLeft w:val="446"/>
          <w:marRight w:val="0"/>
          <w:marTop w:val="0"/>
          <w:marBottom w:val="0"/>
          <w:divBdr>
            <w:top w:val="none" w:sz="0" w:space="0" w:color="auto"/>
            <w:left w:val="none" w:sz="0" w:space="0" w:color="auto"/>
            <w:bottom w:val="none" w:sz="0" w:space="0" w:color="auto"/>
            <w:right w:val="none" w:sz="0" w:space="0" w:color="auto"/>
          </w:divBdr>
        </w:div>
      </w:divsChild>
    </w:div>
    <w:div w:id="1111322172">
      <w:bodyDiv w:val="1"/>
      <w:marLeft w:val="0"/>
      <w:marRight w:val="0"/>
      <w:marTop w:val="0"/>
      <w:marBottom w:val="0"/>
      <w:divBdr>
        <w:top w:val="none" w:sz="0" w:space="0" w:color="auto"/>
        <w:left w:val="none" w:sz="0" w:space="0" w:color="auto"/>
        <w:bottom w:val="none" w:sz="0" w:space="0" w:color="auto"/>
        <w:right w:val="none" w:sz="0" w:space="0" w:color="auto"/>
      </w:divBdr>
      <w:divsChild>
        <w:div w:id="1775512664">
          <w:marLeft w:val="446"/>
          <w:marRight w:val="0"/>
          <w:marTop w:val="0"/>
          <w:marBottom w:val="0"/>
          <w:divBdr>
            <w:top w:val="none" w:sz="0" w:space="0" w:color="auto"/>
            <w:left w:val="none" w:sz="0" w:space="0" w:color="auto"/>
            <w:bottom w:val="none" w:sz="0" w:space="0" w:color="auto"/>
            <w:right w:val="none" w:sz="0" w:space="0" w:color="auto"/>
          </w:divBdr>
        </w:div>
      </w:divsChild>
    </w:div>
    <w:div w:id="1993369065">
      <w:bodyDiv w:val="1"/>
      <w:marLeft w:val="0"/>
      <w:marRight w:val="0"/>
      <w:marTop w:val="0"/>
      <w:marBottom w:val="0"/>
      <w:divBdr>
        <w:top w:val="none" w:sz="0" w:space="0" w:color="auto"/>
        <w:left w:val="none" w:sz="0" w:space="0" w:color="auto"/>
        <w:bottom w:val="none" w:sz="0" w:space="0" w:color="auto"/>
        <w:right w:val="none" w:sz="0" w:space="0" w:color="auto"/>
      </w:divBdr>
      <w:divsChild>
        <w:div w:id="192029108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diagramQuickStyle" Target="diagrams/quickStyle1.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5.emf"/><Relationship Id="rId10" Type="http://schemas.openxmlformats.org/officeDocument/2006/relationships/header" Target="header2.xml"/><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AF461C-1EED-2043-89E8-C37A9F75D0FC}" type="doc">
      <dgm:prSet loTypeId="urn:microsoft.com/office/officeart/2005/8/layout/lProcess1" loCatId="" qsTypeId="urn:microsoft.com/office/officeart/2005/8/quickstyle/simple1" qsCatId="simple" csTypeId="urn:microsoft.com/office/officeart/2005/8/colors/accent1_2" csCatId="accent1" phldr="1"/>
      <dgm:spPr/>
      <dgm:t>
        <a:bodyPr/>
        <a:lstStyle/>
        <a:p>
          <a:endParaRPr lang="en-GB"/>
        </a:p>
      </dgm:t>
    </dgm:pt>
    <dgm:pt modelId="{F46D02EF-3AC6-F442-BBEB-DAFF74C87C3D}">
      <dgm:prSet phldrT="[Text]" custT="1"/>
      <dgm:spPr/>
      <dgm:t>
        <a:bodyPr/>
        <a:lstStyle/>
        <a:p>
          <a:r>
            <a:rPr lang="en-GB" sz="1200" b="0">
              <a:latin typeface="+mj-lt"/>
            </a:rPr>
            <a:t>Reports of SEA / SH experience by </a:t>
          </a:r>
          <a:r>
            <a:rPr lang="en-US" sz="1200" b="0">
              <a:latin typeface="+mj-lt"/>
            </a:rPr>
            <a:t>female </a:t>
          </a:r>
          <a:r>
            <a:rPr lang="en-US" sz="1200"/>
            <a:t>beneficiaries </a:t>
          </a:r>
          <a:r>
            <a:rPr lang="en-GB" sz="1200" b="0">
              <a:latin typeface="+mj-lt"/>
            </a:rPr>
            <a:t>involving a Project Worker</a:t>
          </a:r>
        </a:p>
      </dgm:t>
    </dgm:pt>
    <dgm:pt modelId="{76F5C58B-6CB3-DB4F-9E6B-093A79E4059B}" type="parTrans" cxnId="{5B643B56-4337-F94A-80BE-9832440CD499}">
      <dgm:prSet/>
      <dgm:spPr/>
      <dgm:t>
        <a:bodyPr/>
        <a:lstStyle/>
        <a:p>
          <a:endParaRPr lang="en-GB" sz="1200" b="0">
            <a:latin typeface="+mj-lt"/>
          </a:endParaRPr>
        </a:p>
      </dgm:t>
    </dgm:pt>
    <dgm:pt modelId="{63DC6A12-D81F-6F40-A164-FCD2C8F99CD6}" type="sibTrans" cxnId="{5B643B56-4337-F94A-80BE-9832440CD499}">
      <dgm:prSet/>
      <dgm:spPr/>
      <dgm:t>
        <a:bodyPr/>
        <a:lstStyle/>
        <a:p>
          <a:endParaRPr lang="en-GB" sz="1200" b="0">
            <a:latin typeface="+mj-lt"/>
          </a:endParaRPr>
        </a:p>
      </dgm:t>
    </dgm:pt>
    <dgm:pt modelId="{1AB440B3-7649-0648-96E9-1032FB06D251}">
      <dgm:prSet phldrT="[Text]" custT="1"/>
      <dgm:spPr/>
      <dgm:t>
        <a:bodyPr/>
        <a:lstStyle/>
        <a:p>
          <a:r>
            <a:rPr lang="en-GB" sz="1200" b="0">
              <a:latin typeface="+mj-lt"/>
            </a:rPr>
            <a:t>GRM process to take disciplinary action against the Project Worker for a breech of the Code of Conduct.</a:t>
          </a:r>
        </a:p>
      </dgm:t>
    </dgm:pt>
    <dgm:pt modelId="{31FE0E30-DDCE-4446-934A-BE8DD73A78FE}" type="parTrans" cxnId="{E39CF06D-5BEE-9D4E-A741-E33EFA74B77D}">
      <dgm:prSet/>
      <dgm:spPr/>
      <dgm:t>
        <a:bodyPr/>
        <a:lstStyle/>
        <a:p>
          <a:endParaRPr lang="en-GB" sz="1200" b="0">
            <a:latin typeface="+mj-lt"/>
          </a:endParaRPr>
        </a:p>
      </dgm:t>
    </dgm:pt>
    <dgm:pt modelId="{E1C1333E-7A4B-8442-B546-7523C4318608}" type="sibTrans" cxnId="{E39CF06D-5BEE-9D4E-A741-E33EFA74B77D}">
      <dgm:prSet/>
      <dgm:spPr/>
      <dgm:t>
        <a:bodyPr/>
        <a:lstStyle/>
        <a:p>
          <a:endParaRPr lang="en-GB" sz="1200" b="0">
            <a:latin typeface="+mj-lt"/>
          </a:endParaRPr>
        </a:p>
      </dgm:t>
    </dgm:pt>
    <dgm:pt modelId="{8423DA44-31EF-954F-ADE6-86F487584C6B}">
      <dgm:prSet phldrT="[Text]" custT="1"/>
      <dgm:spPr/>
      <dgm:t>
        <a:bodyPr/>
        <a:lstStyle/>
        <a:p>
          <a:r>
            <a:rPr lang="en-GB" sz="1200" b="0">
              <a:latin typeface="+mj-lt"/>
            </a:rPr>
            <a:t>Reports of </a:t>
          </a:r>
          <a:r>
            <a:rPr lang="en-US" sz="1200" b="0">
              <a:latin typeface="+mj-lt"/>
            </a:rPr>
            <a:t>domestic violence and other forms of GBV experienced by female beneficaries</a:t>
          </a:r>
          <a:endParaRPr lang="en-GB" sz="1200" b="0">
            <a:latin typeface="+mj-lt"/>
          </a:endParaRPr>
        </a:p>
      </dgm:t>
    </dgm:pt>
    <dgm:pt modelId="{A862288A-48B5-5945-809E-40F7EC68984B}" type="parTrans" cxnId="{00CE33AA-26DB-BE4D-B8A8-4536CB5CB3C6}">
      <dgm:prSet/>
      <dgm:spPr/>
      <dgm:t>
        <a:bodyPr/>
        <a:lstStyle/>
        <a:p>
          <a:endParaRPr lang="en-GB" sz="1200" b="0">
            <a:latin typeface="+mj-lt"/>
          </a:endParaRPr>
        </a:p>
      </dgm:t>
    </dgm:pt>
    <dgm:pt modelId="{8C172393-BC35-2841-AD2A-DAD15A4D5877}" type="sibTrans" cxnId="{00CE33AA-26DB-BE4D-B8A8-4536CB5CB3C6}">
      <dgm:prSet/>
      <dgm:spPr/>
      <dgm:t>
        <a:bodyPr/>
        <a:lstStyle/>
        <a:p>
          <a:endParaRPr lang="en-GB" sz="1200" b="0">
            <a:latin typeface="+mj-lt"/>
          </a:endParaRPr>
        </a:p>
      </dgm:t>
    </dgm:pt>
    <dgm:pt modelId="{724201AF-2928-C741-8DF3-ABD7A79D9221}">
      <dgm:prSet phldrT="[Text]" custT="1"/>
      <dgm:spPr/>
      <dgm:t>
        <a:bodyPr/>
        <a:lstStyle/>
        <a:p>
          <a:r>
            <a:rPr lang="en-GB" sz="1200" b="0">
              <a:latin typeface="+mj-lt"/>
            </a:rPr>
            <a:t>Survivor will be referred to specialist GBV services. </a:t>
          </a:r>
        </a:p>
      </dgm:t>
    </dgm:pt>
    <dgm:pt modelId="{5C58D487-2D44-0743-BD01-D654CD9AB4E7}" type="parTrans" cxnId="{F6CE7569-CF7C-EC40-8E9F-8DD428378C3E}">
      <dgm:prSet/>
      <dgm:spPr/>
      <dgm:t>
        <a:bodyPr/>
        <a:lstStyle/>
        <a:p>
          <a:endParaRPr lang="en-GB" sz="1200" b="0">
            <a:latin typeface="+mj-lt"/>
          </a:endParaRPr>
        </a:p>
      </dgm:t>
    </dgm:pt>
    <dgm:pt modelId="{635AD13B-02AD-8342-88AB-DC4B8E3E60F4}" type="sibTrans" cxnId="{F6CE7569-CF7C-EC40-8E9F-8DD428378C3E}">
      <dgm:prSet/>
      <dgm:spPr/>
      <dgm:t>
        <a:bodyPr/>
        <a:lstStyle/>
        <a:p>
          <a:endParaRPr lang="en-GB" sz="1200" b="0">
            <a:latin typeface="+mj-lt"/>
          </a:endParaRPr>
        </a:p>
      </dgm:t>
    </dgm:pt>
    <dgm:pt modelId="{9A597093-400E-FC46-8EDC-499F1A1130E9}" type="pres">
      <dgm:prSet presAssocID="{30AF461C-1EED-2043-89E8-C37A9F75D0FC}" presName="Name0" presStyleCnt="0">
        <dgm:presLayoutVars>
          <dgm:dir/>
          <dgm:animLvl val="lvl"/>
          <dgm:resizeHandles val="exact"/>
        </dgm:presLayoutVars>
      </dgm:prSet>
      <dgm:spPr/>
    </dgm:pt>
    <dgm:pt modelId="{E83AFAA5-A02B-344F-BBCE-91F9D205A327}" type="pres">
      <dgm:prSet presAssocID="{F46D02EF-3AC6-F442-BBEB-DAFF74C87C3D}" presName="vertFlow" presStyleCnt="0"/>
      <dgm:spPr/>
    </dgm:pt>
    <dgm:pt modelId="{CD55EAC3-1539-5E41-A392-307FCE3ACF75}" type="pres">
      <dgm:prSet presAssocID="{F46D02EF-3AC6-F442-BBEB-DAFF74C87C3D}" presName="header" presStyleLbl="node1" presStyleIdx="0" presStyleCnt="2"/>
      <dgm:spPr/>
    </dgm:pt>
    <dgm:pt modelId="{FCBBD92F-2DE5-1B4E-8E47-D6DBFDC505BE}" type="pres">
      <dgm:prSet presAssocID="{31FE0E30-DDCE-4446-934A-BE8DD73A78FE}" presName="parTrans" presStyleLbl="sibTrans2D1" presStyleIdx="0" presStyleCnt="2"/>
      <dgm:spPr/>
    </dgm:pt>
    <dgm:pt modelId="{10D0D2E2-1C46-6348-B975-8684E5F0C35F}" type="pres">
      <dgm:prSet presAssocID="{1AB440B3-7649-0648-96E9-1032FB06D251}" presName="child" presStyleLbl="alignAccFollowNode1" presStyleIdx="0" presStyleCnt="2">
        <dgm:presLayoutVars>
          <dgm:chMax val="0"/>
          <dgm:bulletEnabled val="1"/>
        </dgm:presLayoutVars>
      </dgm:prSet>
      <dgm:spPr/>
    </dgm:pt>
    <dgm:pt modelId="{BAB47D05-CCF1-B440-8EA2-A7AE9B651704}" type="pres">
      <dgm:prSet presAssocID="{F46D02EF-3AC6-F442-BBEB-DAFF74C87C3D}" presName="hSp" presStyleCnt="0"/>
      <dgm:spPr/>
    </dgm:pt>
    <dgm:pt modelId="{B9716015-A260-0247-BDDA-FA11E9E6AFFF}" type="pres">
      <dgm:prSet presAssocID="{8423DA44-31EF-954F-ADE6-86F487584C6B}" presName="vertFlow" presStyleCnt="0"/>
      <dgm:spPr/>
    </dgm:pt>
    <dgm:pt modelId="{2DBD944D-3D84-084B-8E33-EC6B19430358}" type="pres">
      <dgm:prSet presAssocID="{8423DA44-31EF-954F-ADE6-86F487584C6B}" presName="header" presStyleLbl="node1" presStyleIdx="1" presStyleCnt="2"/>
      <dgm:spPr/>
    </dgm:pt>
    <dgm:pt modelId="{67E5EB0C-D1D3-EB45-9162-D57708DD7CB2}" type="pres">
      <dgm:prSet presAssocID="{5C58D487-2D44-0743-BD01-D654CD9AB4E7}" presName="parTrans" presStyleLbl="sibTrans2D1" presStyleIdx="1" presStyleCnt="2"/>
      <dgm:spPr/>
    </dgm:pt>
    <dgm:pt modelId="{C7EA45EF-7765-6043-98F6-C76BF8C9A8EF}" type="pres">
      <dgm:prSet presAssocID="{724201AF-2928-C741-8DF3-ABD7A79D9221}" presName="child" presStyleLbl="alignAccFollowNode1" presStyleIdx="1" presStyleCnt="2">
        <dgm:presLayoutVars>
          <dgm:chMax val="0"/>
          <dgm:bulletEnabled val="1"/>
        </dgm:presLayoutVars>
      </dgm:prSet>
      <dgm:spPr/>
    </dgm:pt>
  </dgm:ptLst>
  <dgm:cxnLst>
    <dgm:cxn modelId="{751C140E-9F2A-094D-9B5E-4DA40BDCDBB2}" type="presOf" srcId="{31FE0E30-DDCE-4446-934A-BE8DD73A78FE}" destId="{FCBBD92F-2DE5-1B4E-8E47-D6DBFDC505BE}" srcOrd="0" destOrd="0" presId="urn:microsoft.com/office/officeart/2005/8/layout/lProcess1"/>
    <dgm:cxn modelId="{CD8D3713-4C40-5647-9CD5-41FF253606C6}" type="presOf" srcId="{724201AF-2928-C741-8DF3-ABD7A79D9221}" destId="{C7EA45EF-7765-6043-98F6-C76BF8C9A8EF}" srcOrd="0" destOrd="0" presId="urn:microsoft.com/office/officeart/2005/8/layout/lProcess1"/>
    <dgm:cxn modelId="{6C3A5226-B3F2-CA41-BA21-CCBEFED106B9}" type="presOf" srcId="{8423DA44-31EF-954F-ADE6-86F487584C6B}" destId="{2DBD944D-3D84-084B-8E33-EC6B19430358}" srcOrd="0" destOrd="0" presId="urn:microsoft.com/office/officeart/2005/8/layout/lProcess1"/>
    <dgm:cxn modelId="{B873FA5C-23ED-434D-B5CA-2115DB0377C0}" type="presOf" srcId="{F46D02EF-3AC6-F442-BBEB-DAFF74C87C3D}" destId="{CD55EAC3-1539-5E41-A392-307FCE3ACF75}" srcOrd="0" destOrd="0" presId="urn:microsoft.com/office/officeart/2005/8/layout/lProcess1"/>
    <dgm:cxn modelId="{F6CE7569-CF7C-EC40-8E9F-8DD428378C3E}" srcId="{8423DA44-31EF-954F-ADE6-86F487584C6B}" destId="{724201AF-2928-C741-8DF3-ABD7A79D9221}" srcOrd="0" destOrd="0" parTransId="{5C58D487-2D44-0743-BD01-D654CD9AB4E7}" sibTransId="{635AD13B-02AD-8342-88AB-DC4B8E3E60F4}"/>
    <dgm:cxn modelId="{0EE1786C-5461-CD44-AEE2-5D2A8B367788}" type="presOf" srcId="{30AF461C-1EED-2043-89E8-C37A9F75D0FC}" destId="{9A597093-400E-FC46-8EDC-499F1A1130E9}" srcOrd="0" destOrd="0" presId="urn:microsoft.com/office/officeart/2005/8/layout/lProcess1"/>
    <dgm:cxn modelId="{E39CF06D-5BEE-9D4E-A741-E33EFA74B77D}" srcId="{F46D02EF-3AC6-F442-BBEB-DAFF74C87C3D}" destId="{1AB440B3-7649-0648-96E9-1032FB06D251}" srcOrd="0" destOrd="0" parTransId="{31FE0E30-DDCE-4446-934A-BE8DD73A78FE}" sibTransId="{E1C1333E-7A4B-8442-B546-7523C4318608}"/>
    <dgm:cxn modelId="{98B2D153-F5E0-C94A-9409-D8BFE3F71C78}" type="presOf" srcId="{5C58D487-2D44-0743-BD01-D654CD9AB4E7}" destId="{67E5EB0C-D1D3-EB45-9162-D57708DD7CB2}" srcOrd="0" destOrd="0" presId="urn:microsoft.com/office/officeart/2005/8/layout/lProcess1"/>
    <dgm:cxn modelId="{5B643B56-4337-F94A-80BE-9832440CD499}" srcId="{30AF461C-1EED-2043-89E8-C37A9F75D0FC}" destId="{F46D02EF-3AC6-F442-BBEB-DAFF74C87C3D}" srcOrd="0" destOrd="0" parTransId="{76F5C58B-6CB3-DB4F-9E6B-093A79E4059B}" sibTransId="{63DC6A12-D81F-6F40-A164-FCD2C8F99CD6}"/>
    <dgm:cxn modelId="{00CE33AA-26DB-BE4D-B8A8-4536CB5CB3C6}" srcId="{30AF461C-1EED-2043-89E8-C37A9F75D0FC}" destId="{8423DA44-31EF-954F-ADE6-86F487584C6B}" srcOrd="1" destOrd="0" parTransId="{A862288A-48B5-5945-809E-40F7EC68984B}" sibTransId="{8C172393-BC35-2841-AD2A-DAD15A4D5877}"/>
    <dgm:cxn modelId="{B26A68E0-C9D9-AA42-B6F5-5675D6188510}" type="presOf" srcId="{1AB440B3-7649-0648-96E9-1032FB06D251}" destId="{10D0D2E2-1C46-6348-B975-8684E5F0C35F}" srcOrd="0" destOrd="0" presId="urn:microsoft.com/office/officeart/2005/8/layout/lProcess1"/>
    <dgm:cxn modelId="{1D71CAEF-1CB9-F649-80AB-1F08C7336ACD}" type="presParOf" srcId="{9A597093-400E-FC46-8EDC-499F1A1130E9}" destId="{E83AFAA5-A02B-344F-BBCE-91F9D205A327}" srcOrd="0" destOrd="0" presId="urn:microsoft.com/office/officeart/2005/8/layout/lProcess1"/>
    <dgm:cxn modelId="{1AEC1579-D9AE-074B-AB05-0A9A37AA3BB8}" type="presParOf" srcId="{E83AFAA5-A02B-344F-BBCE-91F9D205A327}" destId="{CD55EAC3-1539-5E41-A392-307FCE3ACF75}" srcOrd="0" destOrd="0" presId="urn:microsoft.com/office/officeart/2005/8/layout/lProcess1"/>
    <dgm:cxn modelId="{2F38CCDC-25AB-8241-ADAE-693551DEC447}" type="presParOf" srcId="{E83AFAA5-A02B-344F-BBCE-91F9D205A327}" destId="{FCBBD92F-2DE5-1B4E-8E47-D6DBFDC505BE}" srcOrd="1" destOrd="0" presId="urn:microsoft.com/office/officeart/2005/8/layout/lProcess1"/>
    <dgm:cxn modelId="{83715B04-200A-3644-9ED4-BBDFC0585379}" type="presParOf" srcId="{E83AFAA5-A02B-344F-BBCE-91F9D205A327}" destId="{10D0D2E2-1C46-6348-B975-8684E5F0C35F}" srcOrd="2" destOrd="0" presId="urn:microsoft.com/office/officeart/2005/8/layout/lProcess1"/>
    <dgm:cxn modelId="{7E589EEC-1926-D449-BE60-05F675181CAA}" type="presParOf" srcId="{9A597093-400E-FC46-8EDC-499F1A1130E9}" destId="{BAB47D05-CCF1-B440-8EA2-A7AE9B651704}" srcOrd="1" destOrd="0" presId="urn:microsoft.com/office/officeart/2005/8/layout/lProcess1"/>
    <dgm:cxn modelId="{7A4F7E32-96E6-6447-AEFB-66613295518D}" type="presParOf" srcId="{9A597093-400E-FC46-8EDC-499F1A1130E9}" destId="{B9716015-A260-0247-BDDA-FA11E9E6AFFF}" srcOrd="2" destOrd="0" presId="urn:microsoft.com/office/officeart/2005/8/layout/lProcess1"/>
    <dgm:cxn modelId="{67863907-0FA9-104F-BF68-B699D4135D05}" type="presParOf" srcId="{B9716015-A260-0247-BDDA-FA11E9E6AFFF}" destId="{2DBD944D-3D84-084B-8E33-EC6B19430358}" srcOrd="0" destOrd="0" presId="urn:microsoft.com/office/officeart/2005/8/layout/lProcess1"/>
    <dgm:cxn modelId="{8ADB264F-8AF2-7744-8B00-16DD1372CB7C}" type="presParOf" srcId="{B9716015-A260-0247-BDDA-FA11E9E6AFFF}" destId="{67E5EB0C-D1D3-EB45-9162-D57708DD7CB2}" srcOrd="1" destOrd="0" presId="urn:microsoft.com/office/officeart/2005/8/layout/lProcess1"/>
    <dgm:cxn modelId="{75FAC998-B784-8B41-8D5B-3A56AF5C444E}" type="presParOf" srcId="{B9716015-A260-0247-BDDA-FA11E9E6AFFF}" destId="{C7EA45EF-7765-6043-98F6-C76BF8C9A8EF}" srcOrd="2" destOrd="0" presId="urn:microsoft.com/office/officeart/2005/8/layout/l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55EAC3-1539-5E41-A392-307FCE3ACF75}">
      <dsp:nvSpPr>
        <dsp:cNvPr id="0" name=""/>
        <dsp:cNvSpPr/>
      </dsp:nvSpPr>
      <dsp:spPr>
        <a:xfrm>
          <a:off x="4247" y="422"/>
          <a:ext cx="2559768" cy="6399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0" kern="1200">
              <a:latin typeface="+mj-lt"/>
            </a:rPr>
            <a:t>Reports of SEA / SH experience by </a:t>
          </a:r>
          <a:r>
            <a:rPr lang="en-US" sz="1200" b="0" kern="1200">
              <a:latin typeface="+mj-lt"/>
            </a:rPr>
            <a:t>female </a:t>
          </a:r>
          <a:r>
            <a:rPr lang="en-US" sz="1200" kern="1200"/>
            <a:t>beneficiaries </a:t>
          </a:r>
          <a:r>
            <a:rPr lang="en-GB" sz="1200" b="0" kern="1200">
              <a:latin typeface="+mj-lt"/>
            </a:rPr>
            <a:t>involving a Project Worker</a:t>
          </a:r>
        </a:p>
      </dsp:txBody>
      <dsp:txXfrm>
        <a:off x="22990" y="19165"/>
        <a:ext cx="2522282" cy="602456"/>
      </dsp:txXfrm>
    </dsp:sp>
    <dsp:sp modelId="{FCBBD92F-2DE5-1B4E-8E47-D6DBFDC505BE}">
      <dsp:nvSpPr>
        <dsp:cNvPr id="0" name=""/>
        <dsp:cNvSpPr/>
      </dsp:nvSpPr>
      <dsp:spPr>
        <a:xfrm rot="5400000">
          <a:off x="1228136" y="696359"/>
          <a:ext cx="111989" cy="11198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0D0D2E2-1C46-6348-B975-8684E5F0C35F}">
      <dsp:nvSpPr>
        <dsp:cNvPr id="0" name=""/>
        <dsp:cNvSpPr/>
      </dsp:nvSpPr>
      <dsp:spPr>
        <a:xfrm>
          <a:off x="4247" y="864344"/>
          <a:ext cx="2559768" cy="639942"/>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0" kern="1200">
              <a:latin typeface="+mj-lt"/>
            </a:rPr>
            <a:t>GRM process to take disciplinary action against the Project Worker for a breech of the Code of Conduct.</a:t>
          </a:r>
        </a:p>
      </dsp:txBody>
      <dsp:txXfrm>
        <a:off x="22990" y="883087"/>
        <a:ext cx="2522282" cy="602456"/>
      </dsp:txXfrm>
    </dsp:sp>
    <dsp:sp modelId="{2DBD944D-3D84-084B-8E33-EC6B19430358}">
      <dsp:nvSpPr>
        <dsp:cNvPr id="0" name=""/>
        <dsp:cNvSpPr/>
      </dsp:nvSpPr>
      <dsp:spPr>
        <a:xfrm>
          <a:off x="2922383" y="422"/>
          <a:ext cx="2559768" cy="6399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0" kern="1200">
              <a:latin typeface="+mj-lt"/>
            </a:rPr>
            <a:t>Reports of </a:t>
          </a:r>
          <a:r>
            <a:rPr lang="en-US" sz="1200" b="0" kern="1200">
              <a:latin typeface="+mj-lt"/>
            </a:rPr>
            <a:t>domestic violence and other forms of GBV experienced by female beneficaries</a:t>
          </a:r>
          <a:endParaRPr lang="en-GB" sz="1200" b="0" kern="1200">
            <a:latin typeface="+mj-lt"/>
          </a:endParaRPr>
        </a:p>
      </dsp:txBody>
      <dsp:txXfrm>
        <a:off x="2941126" y="19165"/>
        <a:ext cx="2522282" cy="602456"/>
      </dsp:txXfrm>
    </dsp:sp>
    <dsp:sp modelId="{67E5EB0C-D1D3-EB45-9162-D57708DD7CB2}">
      <dsp:nvSpPr>
        <dsp:cNvPr id="0" name=""/>
        <dsp:cNvSpPr/>
      </dsp:nvSpPr>
      <dsp:spPr>
        <a:xfrm rot="5400000">
          <a:off x="4146273" y="696359"/>
          <a:ext cx="111989" cy="111989"/>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7EA45EF-7765-6043-98F6-C76BF8C9A8EF}">
      <dsp:nvSpPr>
        <dsp:cNvPr id="0" name=""/>
        <dsp:cNvSpPr/>
      </dsp:nvSpPr>
      <dsp:spPr>
        <a:xfrm>
          <a:off x="2922383" y="864344"/>
          <a:ext cx="2559768" cy="639942"/>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b="0" kern="1200">
              <a:latin typeface="+mj-lt"/>
            </a:rPr>
            <a:t>Survivor will be referred to specialist GBV services. </a:t>
          </a:r>
        </a:p>
      </dsp:txBody>
      <dsp:txXfrm>
        <a:off x="2941126" y="883087"/>
        <a:ext cx="2522282" cy="602456"/>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4BFA7-EC73-4374-A604-0B904AAF0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13575</Words>
  <Characters>77380</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Hwang</dc:creator>
  <cp:keywords/>
  <dc:description/>
  <cp:lastModifiedBy>Sam An </cp:lastModifiedBy>
  <cp:revision>8</cp:revision>
  <cp:lastPrinted>2021-12-15T00:01:00Z</cp:lastPrinted>
  <dcterms:created xsi:type="dcterms:W3CDTF">2021-12-14T08:44:00Z</dcterms:created>
  <dcterms:modified xsi:type="dcterms:W3CDTF">2021-12-15T00:01:00Z</dcterms:modified>
</cp:coreProperties>
</file>