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20" w:rsidRDefault="00CC0FA3" w:rsidP="00AB230E">
      <w:pPr>
        <w:spacing w:after="0" w:line="240" w:lineRule="auto"/>
        <w:jc w:val="center"/>
        <w:rPr>
          <w:b/>
        </w:rPr>
      </w:pPr>
      <w:r>
        <w:rPr>
          <w:b/>
        </w:rPr>
        <w:t>CONSULTANT FINANCIAL PROPOSAL FORM</w:t>
      </w:r>
    </w:p>
    <w:p w:rsidR="00F84CCD" w:rsidRPr="00F84CCD" w:rsidRDefault="008839CB" w:rsidP="003C5D13">
      <w:pPr>
        <w:jc w:val="center"/>
        <w:rPr>
          <w:i/>
        </w:rPr>
      </w:pPr>
      <w:bookmarkStart w:id="0" w:name="_GoBack"/>
      <w:bookmarkEnd w:id="0"/>
      <w:r w:rsidRPr="008839CB">
        <w:rPr>
          <w:i/>
        </w:rPr>
        <w:t xml:space="preserve"> </w:t>
      </w:r>
      <w:r w:rsidR="00B05BA2">
        <w:rPr>
          <w:i/>
        </w:rPr>
        <w:t>(</w:t>
      </w:r>
      <w:r w:rsidR="00B05BA2" w:rsidRPr="003C5D13">
        <w:rPr>
          <w:i/>
        </w:rPr>
        <w:t>Short Term Consultant</w:t>
      </w:r>
      <w:r w:rsidR="00B05BA2">
        <w:rPr>
          <w:i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26"/>
        <w:gridCol w:w="1440"/>
        <w:gridCol w:w="1494"/>
        <w:gridCol w:w="2394"/>
      </w:tblGrid>
      <w:tr w:rsidR="00CC0FA3" w:rsidTr="006A458C">
        <w:trPr>
          <w:jc w:val="center"/>
        </w:trPr>
        <w:tc>
          <w:tcPr>
            <w:tcW w:w="3726" w:type="dxa"/>
            <w:shd w:val="clear" w:color="auto" w:fill="D9D9D9" w:themeFill="background1" w:themeFillShade="D9"/>
          </w:tcPr>
          <w:p w:rsidR="00CC0FA3" w:rsidRDefault="00CC0FA3" w:rsidP="00CC0FA3">
            <w:pPr>
              <w:jc w:val="center"/>
              <w:rPr>
                <w:b/>
              </w:rPr>
            </w:pPr>
            <w:r>
              <w:rPr>
                <w:b/>
              </w:rPr>
              <w:t>Cost Components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C0FA3" w:rsidRDefault="00CC0FA3" w:rsidP="00CC0FA3">
            <w:pPr>
              <w:jc w:val="center"/>
              <w:rPr>
                <w:b/>
              </w:rPr>
            </w:pPr>
            <w:r>
              <w:rPr>
                <w:b/>
              </w:rPr>
              <w:t>Unit Cost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CC0FA3" w:rsidRDefault="00CC0FA3" w:rsidP="00CC0FA3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C0FA3" w:rsidRDefault="00CC0FA3" w:rsidP="00CC0FA3">
            <w:pPr>
              <w:jc w:val="center"/>
              <w:rPr>
                <w:b/>
              </w:rPr>
            </w:pPr>
            <w:r>
              <w:rPr>
                <w:b/>
              </w:rPr>
              <w:t>Total rate for the contract duration</w:t>
            </w:r>
          </w:p>
        </w:tc>
      </w:tr>
      <w:tr w:rsidR="00CC0FA3" w:rsidTr="00535EFB">
        <w:trPr>
          <w:jc w:val="center"/>
        </w:trPr>
        <w:tc>
          <w:tcPr>
            <w:tcW w:w="3726" w:type="dxa"/>
          </w:tcPr>
          <w:p w:rsidR="00CC0FA3" w:rsidRPr="00CC0FA3" w:rsidRDefault="00CC0FA3" w:rsidP="00CC0FA3">
            <w:r w:rsidRPr="00CC0FA3">
              <w:t>Professional fees</w:t>
            </w:r>
          </w:p>
        </w:tc>
        <w:tc>
          <w:tcPr>
            <w:tcW w:w="1440" w:type="dxa"/>
          </w:tcPr>
          <w:p w:rsidR="00CC0FA3" w:rsidRDefault="00CC0FA3" w:rsidP="00CC0FA3">
            <w:pPr>
              <w:jc w:val="center"/>
              <w:rPr>
                <w:b/>
              </w:rPr>
            </w:pPr>
          </w:p>
        </w:tc>
        <w:tc>
          <w:tcPr>
            <w:tcW w:w="1494" w:type="dxa"/>
          </w:tcPr>
          <w:p w:rsidR="00CC0FA3" w:rsidRDefault="00CC0FA3" w:rsidP="00CC0FA3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CC0FA3" w:rsidRDefault="00CC0FA3" w:rsidP="00CC0FA3">
            <w:pPr>
              <w:jc w:val="center"/>
              <w:rPr>
                <w:b/>
              </w:rPr>
            </w:pPr>
          </w:p>
        </w:tc>
      </w:tr>
      <w:tr w:rsidR="00CC0FA3" w:rsidTr="00535EFB">
        <w:trPr>
          <w:jc w:val="center"/>
        </w:trPr>
        <w:tc>
          <w:tcPr>
            <w:tcW w:w="3726" w:type="dxa"/>
          </w:tcPr>
          <w:p w:rsidR="00CC0FA3" w:rsidRPr="00CC0FA3" w:rsidRDefault="00CC0FA3" w:rsidP="00CC0FA3">
            <w:r w:rsidRPr="00CC0FA3">
              <w:t>Round trip airfares to and from duty station*</w:t>
            </w:r>
          </w:p>
        </w:tc>
        <w:tc>
          <w:tcPr>
            <w:tcW w:w="1440" w:type="dxa"/>
          </w:tcPr>
          <w:p w:rsidR="00CC0FA3" w:rsidRDefault="00CC0FA3" w:rsidP="00CC0FA3">
            <w:pPr>
              <w:jc w:val="center"/>
              <w:rPr>
                <w:b/>
              </w:rPr>
            </w:pPr>
          </w:p>
        </w:tc>
        <w:tc>
          <w:tcPr>
            <w:tcW w:w="1494" w:type="dxa"/>
          </w:tcPr>
          <w:p w:rsidR="00CC0FA3" w:rsidRDefault="00CC0FA3" w:rsidP="00CC0FA3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CC0FA3" w:rsidRDefault="00CC0FA3" w:rsidP="00CC0FA3">
            <w:pPr>
              <w:jc w:val="center"/>
              <w:rPr>
                <w:b/>
              </w:rPr>
            </w:pPr>
          </w:p>
        </w:tc>
      </w:tr>
      <w:tr w:rsidR="00CC0FA3" w:rsidTr="00535EFB">
        <w:trPr>
          <w:jc w:val="center"/>
        </w:trPr>
        <w:tc>
          <w:tcPr>
            <w:tcW w:w="3726" w:type="dxa"/>
          </w:tcPr>
          <w:p w:rsidR="00CC0FA3" w:rsidRPr="00CC0FA3" w:rsidRDefault="00CC0FA3" w:rsidP="00CC0FA3">
            <w:r w:rsidRPr="00CC0FA3">
              <w:t>Living allowance*</w:t>
            </w:r>
          </w:p>
        </w:tc>
        <w:tc>
          <w:tcPr>
            <w:tcW w:w="1440" w:type="dxa"/>
          </w:tcPr>
          <w:p w:rsidR="00CC0FA3" w:rsidRDefault="00CC0FA3" w:rsidP="00CC0FA3">
            <w:pPr>
              <w:jc w:val="center"/>
              <w:rPr>
                <w:b/>
              </w:rPr>
            </w:pPr>
          </w:p>
        </w:tc>
        <w:tc>
          <w:tcPr>
            <w:tcW w:w="1494" w:type="dxa"/>
          </w:tcPr>
          <w:p w:rsidR="00CC0FA3" w:rsidRDefault="00CC0FA3" w:rsidP="00CC0FA3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CC0FA3" w:rsidRDefault="00CC0FA3" w:rsidP="00CC0FA3">
            <w:pPr>
              <w:jc w:val="center"/>
              <w:rPr>
                <w:b/>
              </w:rPr>
            </w:pPr>
          </w:p>
        </w:tc>
      </w:tr>
      <w:tr w:rsidR="00CC0FA3" w:rsidTr="00535EFB">
        <w:trPr>
          <w:jc w:val="center"/>
        </w:trPr>
        <w:tc>
          <w:tcPr>
            <w:tcW w:w="3726" w:type="dxa"/>
          </w:tcPr>
          <w:p w:rsidR="00CC0FA3" w:rsidRPr="00CC0FA3" w:rsidRDefault="00CC0FA3" w:rsidP="00CC0FA3">
            <w:r w:rsidRPr="00CC0FA3">
              <w:t>Terminal expenses*</w:t>
            </w:r>
          </w:p>
        </w:tc>
        <w:tc>
          <w:tcPr>
            <w:tcW w:w="1440" w:type="dxa"/>
          </w:tcPr>
          <w:p w:rsidR="00CC0FA3" w:rsidRDefault="00CC0FA3" w:rsidP="00CC0FA3">
            <w:pPr>
              <w:jc w:val="center"/>
              <w:rPr>
                <w:b/>
              </w:rPr>
            </w:pPr>
          </w:p>
        </w:tc>
        <w:tc>
          <w:tcPr>
            <w:tcW w:w="1494" w:type="dxa"/>
          </w:tcPr>
          <w:p w:rsidR="00CC0FA3" w:rsidRDefault="00CC0FA3" w:rsidP="00CC0FA3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CC0FA3" w:rsidRDefault="00CC0FA3" w:rsidP="00CC0FA3">
            <w:pPr>
              <w:jc w:val="center"/>
              <w:rPr>
                <w:b/>
              </w:rPr>
            </w:pPr>
          </w:p>
        </w:tc>
      </w:tr>
      <w:tr w:rsidR="00CC0FA3" w:rsidTr="00535EFB">
        <w:trPr>
          <w:jc w:val="center"/>
        </w:trPr>
        <w:tc>
          <w:tcPr>
            <w:tcW w:w="3726" w:type="dxa"/>
          </w:tcPr>
          <w:p w:rsidR="00CC0FA3" w:rsidRPr="00CC0FA3" w:rsidRDefault="00CC0FA3" w:rsidP="00CC0FA3">
            <w:r w:rsidRPr="00CC0FA3">
              <w:t>In-country travel **</w:t>
            </w:r>
          </w:p>
        </w:tc>
        <w:tc>
          <w:tcPr>
            <w:tcW w:w="1440" w:type="dxa"/>
          </w:tcPr>
          <w:p w:rsidR="00CC0FA3" w:rsidRDefault="00CC0FA3" w:rsidP="00CC0FA3">
            <w:pPr>
              <w:jc w:val="center"/>
              <w:rPr>
                <w:b/>
              </w:rPr>
            </w:pPr>
          </w:p>
        </w:tc>
        <w:tc>
          <w:tcPr>
            <w:tcW w:w="1494" w:type="dxa"/>
          </w:tcPr>
          <w:p w:rsidR="00CC0FA3" w:rsidRDefault="00CC0FA3" w:rsidP="00CC0FA3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CC0FA3" w:rsidRDefault="00CC0FA3" w:rsidP="00CC0FA3">
            <w:pPr>
              <w:jc w:val="center"/>
              <w:rPr>
                <w:b/>
              </w:rPr>
            </w:pPr>
          </w:p>
        </w:tc>
      </w:tr>
      <w:tr w:rsidR="00CC0FA3" w:rsidTr="00535EFB">
        <w:trPr>
          <w:jc w:val="center"/>
        </w:trPr>
        <w:tc>
          <w:tcPr>
            <w:tcW w:w="3726" w:type="dxa"/>
          </w:tcPr>
          <w:p w:rsidR="00CC0FA3" w:rsidRPr="00CC0FA3" w:rsidRDefault="00CC0FA3" w:rsidP="00CC0FA3">
            <w:r w:rsidRPr="00CC0FA3">
              <w:t>Medical examination ***</w:t>
            </w:r>
          </w:p>
        </w:tc>
        <w:tc>
          <w:tcPr>
            <w:tcW w:w="1440" w:type="dxa"/>
          </w:tcPr>
          <w:p w:rsidR="00CC0FA3" w:rsidRDefault="00CC0FA3" w:rsidP="00CC0FA3">
            <w:pPr>
              <w:jc w:val="center"/>
              <w:rPr>
                <w:b/>
              </w:rPr>
            </w:pPr>
          </w:p>
        </w:tc>
        <w:tc>
          <w:tcPr>
            <w:tcW w:w="1494" w:type="dxa"/>
          </w:tcPr>
          <w:p w:rsidR="00CC0FA3" w:rsidRDefault="00CC0FA3" w:rsidP="00CC0FA3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CC0FA3" w:rsidRDefault="00CC0FA3" w:rsidP="00CC0FA3">
            <w:pPr>
              <w:jc w:val="center"/>
              <w:rPr>
                <w:b/>
              </w:rPr>
            </w:pPr>
          </w:p>
        </w:tc>
      </w:tr>
      <w:tr w:rsidR="00CC0FA3" w:rsidTr="00535EFB">
        <w:trPr>
          <w:jc w:val="center"/>
        </w:trPr>
        <w:tc>
          <w:tcPr>
            <w:tcW w:w="3726" w:type="dxa"/>
          </w:tcPr>
          <w:p w:rsidR="00CC0FA3" w:rsidRDefault="00CC0FA3" w:rsidP="00CC0FA3">
            <w:pPr>
              <w:rPr>
                <w:b/>
              </w:rPr>
            </w:pPr>
            <w:r>
              <w:rPr>
                <w:b/>
              </w:rPr>
              <w:t>TOTAL LUMP-SUM</w:t>
            </w:r>
          </w:p>
        </w:tc>
        <w:tc>
          <w:tcPr>
            <w:tcW w:w="1440" w:type="dxa"/>
          </w:tcPr>
          <w:p w:rsidR="00CC0FA3" w:rsidRDefault="00CC0FA3" w:rsidP="00CC0FA3">
            <w:pPr>
              <w:jc w:val="center"/>
              <w:rPr>
                <w:b/>
              </w:rPr>
            </w:pPr>
          </w:p>
        </w:tc>
        <w:tc>
          <w:tcPr>
            <w:tcW w:w="1494" w:type="dxa"/>
          </w:tcPr>
          <w:p w:rsidR="00CC0FA3" w:rsidRDefault="00CC0FA3" w:rsidP="00CC0FA3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CC0FA3" w:rsidRDefault="00CC0FA3" w:rsidP="00CC0FA3">
            <w:pPr>
              <w:jc w:val="center"/>
              <w:rPr>
                <w:b/>
              </w:rPr>
            </w:pPr>
          </w:p>
        </w:tc>
      </w:tr>
    </w:tbl>
    <w:p w:rsidR="00CC0FA3" w:rsidRPr="00F84CCD" w:rsidRDefault="00CC0FA3" w:rsidP="00F84CCD">
      <w:pPr>
        <w:spacing w:after="0" w:line="240" w:lineRule="auto"/>
        <w:ind w:left="720"/>
        <w:jc w:val="both"/>
        <w:rPr>
          <w:i/>
          <w:sz w:val="20"/>
          <w:szCs w:val="20"/>
        </w:rPr>
      </w:pPr>
      <w:r w:rsidRPr="00F84CCD">
        <w:rPr>
          <w:i/>
          <w:sz w:val="20"/>
          <w:szCs w:val="20"/>
        </w:rPr>
        <w:t xml:space="preserve">* </w:t>
      </w:r>
      <w:r w:rsidRPr="00F84CCD">
        <w:rPr>
          <w:i/>
          <w:sz w:val="20"/>
          <w:szCs w:val="20"/>
        </w:rPr>
        <w:tab/>
        <w:t>For international consultants only, or nationals not residing in duty station</w:t>
      </w:r>
      <w:r w:rsidR="00F84CCD">
        <w:rPr>
          <w:i/>
          <w:sz w:val="20"/>
          <w:szCs w:val="20"/>
        </w:rPr>
        <w:t>.</w:t>
      </w:r>
    </w:p>
    <w:p w:rsidR="00CC0FA3" w:rsidRPr="00F84CCD" w:rsidRDefault="00CC0FA3" w:rsidP="00F84CCD">
      <w:pPr>
        <w:spacing w:after="0" w:line="240" w:lineRule="auto"/>
        <w:ind w:left="720"/>
        <w:jc w:val="both"/>
        <w:rPr>
          <w:i/>
          <w:sz w:val="20"/>
          <w:szCs w:val="20"/>
        </w:rPr>
      </w:pPr>
      <w:r w:rsidRPr="00F84CCD">
        <w:rPr>
          <w:i/>
          <w:sz w:val="20"/>
          <w:szCs w:val="20"/>
        </w:rPr>
        <w:t xml:space="preserve">** </w:t>
      </w:r>
      <w:r w:rsidRPr="00F84CCD">
        <w:rPr>
          <w:i/>
          <w:sz w:val="20"/>
          <w:szCs w:val="20"/>
        </w:rPr>
        <w:tab/>
        <w:t xml:space="preserve">Only if not covered by </w:t>
      </w:r>
      <w:r w:rsidR="00D96255">
        <w:rPr>
          <w:i/>
          <w:sz w:val="20"/>
          <w:szCs w:val="20"/>
        </w:rPr>
        <w:t>C</w:t>
      </w:r>
      <w:r w:rsidRPr="00F84CCD">
        <w:rPr>
          <w:i/>
          <w:sz w:val="20"/>
          <w:szCs w:val="20"/>
        </w:rPr>
        <w:t>, please refer to the TORs</w:t>
      </w:r>
      <w:r w:rsidR="00F84CCD">
        <w:rPr>
          <w:i/>
          <w:sz w:val="20"/>
          <w:szCs w:val="20"/>
        </w:rPr>
        <w:t>.</w:t>
      </w:r>
    </w:p>
    <w:p w:rsidR="00CC0FA3" w:rsidRPr="00F84CCD" w:rsidRDefault="00CC0FA3" w:rsidP="00F84CCD">
      <w:pPr>
        <w:spacing w:after="0" w:line="240" w:lineRule="auto"/>
        <w:ind w:left="720"/>
        <w:jc w:val="both"/>
        <w:rPr>
          <w:i/>
          <w:sz w:val="20"/>
          <w:szCs w:val="20"/>
        </w:rPr>
      </w:pPr>
      <w:r w:rsidRPr="00F84CCD">
        <w:rPr>
          <w:i/>
          <w:sz w:val="20"/>
          <w:szCs w:val="20"/>
        </w:rPr>
        <w:t xml:space="preserve">*** </w:t>
      </w:r>
      <w:r w:rsidRPr="00F84CCD">
        <w:rPr>
          <w:i/>
          <w:sz w:val="20"/>
          <w:szCs w:val="20"/>
        </w:rPr>
        <w:tab/>
        <w:t>Only for consultants 65 years old and above</w:t>
      </w:r>
      <w:r w:rsidR="00F84CCD">
        <w:rPr>
          <w:i/>
          <w:sz w:val="20"/>
          <w:szCs w:val="20"/>
        </w:rPr>
        <w:t>.</w:t>
      </w:r>
    </w:p>
    <w:p w:rsidR="00D16180" w:rsidRPr="00F70AE7" w:rsidRDefault="0003446F" w:rsidP="00535EFB">
      <w:pPr>
        <w:adjustRightInd w:val="0"/>
        <w:spacing w:before="100" w:beforeAutospacing="1" w:after="100" w:afterAutospacing="1"/>
        <w:jc w:val="both"/>
        <w:rPr>
          <w:rFonts w:ascii="Calibri" w:hAnsi="Calibri" w:cs="Calibri"/>
        </w:rPr>
      </w:pPr>
      <w:r w:rsidRPr="0003446F">
        <w:rPr>
          <w:rFonts w:ascii="Calibri" w:hAnsi="Calibri" w:cs="Calibri"/>
          <w:b/>
          <w:bCs/>
          <w:u w:val="single"/>
        </w:rPr>
        <w:t>Note</w:t>
      </w:r>
      <w:r>
        <w:rPr>
          <w:rFonts w:ascii="Calibri" w:hAnsi="Calibri" w:cs="Calibri"/>
        </w:rPr>
        <w:t xml:space="preserve">: </w:t>
      </w:r>
      <w:r w:rsidR="00481933">
        <w:rPr>
          <w:rFonts w:ascii="Calibri" w:hAnsi="Calibri" w:cs="Calibri"/>
        </w:rPr>
        <w:t xml:space="preserve">The financial proposal must tax inclusive. </w:t>
      </w:r>
      <w:r w:rsidR="00535EFB" w:rsidRPr="00F70AE7">
        <w:rPr>
          <w:rFonts w:ascii="Calibri" w:hAnsi="Calibri" w:cs="Calibri"/>
        </w:rPr>
        <w:t xml:space="preserve">Consultants are responsible for payment of any taxes that may be due on the fees received from the </w:t>
      </w:r>
      <w:r w:rsidR="00535EFB">
        <w:rPr>
          <w:rFonts w:ascii="Calibri" w:hAnsi="Calibri" w:cs="Calibri"/>
        </w:rPr>
        <w:t>CCCA</w:t>
      </w:r>
      <w:r w:rsidR="00535EFB" w:rsidRPr="00F70AE7">
        <w:rPr>
          <w:rFonts w:ascii="Calibri" w:hAnsi="Calibri" w:cs="Calibri"/>
        </w:rPr>
        <w:t xml:space="preserve"> for their services.</w:t>
      </w:r>
      <w:r w:rsidR="00B66D11">
        <w:rPr>
          <w:rFonts w:ascii="Calibri" w:hAnsi="Calibri" w:cs="Calibri"/>
        </w:rPr>
        <w:t xml:space="preserve"> </w:t>
      </w:r>
      <w:r w:rsidR="00D16180">
        <w:rPr>
          <w:rFonts w:ascii="Calibri" w:hAnsi="Calibri" w:cs="Calibri"/>
        </w:rPr>
        <w:t>So if the consultants don’t have VAT registration, t</w:t>
      </w:r>
      <w:r w:rsidR="00D16180" w:rsidRPr="00D16180">
        <w:rPr>
          <w:rFonts w:ascii="Calibri" w:hAnsi="Calibri" w:cs="Calibri"/>
        </w:rPr>
        <w:t xml:space="preserve">he </w:t>
      </w:r>
      <w:r w:rsidR="00D16180">
        <w:rPr>
          <w:rFonts w:ascii="Calibri" w:hAnsi="Calibri" w:cs="Calibri"/>
        </w:rPr>
        <w:t>CCCA</w:t>
      </w:r>
      <w:r w:rsidR="00D16180" w:rsidRPr="00D16180">
        <w:rPr>
          <w:rFonts w:ascii="Calibri" w:hAnsi="Calibri" w:cs="Calibri"/>
        </w:rPr>
        <w:t xml:space="preserve"> should withhold and declare such WHT in accordance with the applicable rate as defined in the Cambodian Law on Taxation</w:t>
      </w:r>
      <w:r w:rsidR="00D16180">
        <w:rPr>
          <w:rFonts w:ascii="Calibri" w:hAnsi="Calibri" w:cs="Calibri"/>
        </w:rPr>
        <w:t>.</w:t>
      </w:r>
    </w:p>
    <w:p w:rsidR="00CC0FA3" w:rsidRDefault="00CC0FA3">
      <w:pPr>
        <w:spacing w:after="0"/>
        <w:ind w:left="720"/>
        <w:jc w:val="both"/>
        <w:rPr>
          <w:sz w:val="20"/>
          <w:szCs w:val="20"/>
        </w:rPr>
      </w:pPr>
    </w:p>
    <w:p w:rsidR="007A59F6" w:rsidRDefault="007A59F6" w:rsidP="007A59F6">
      <w:pPr>
        <w:spacing w:after="0"/>
        <w:jc w:val="both"/>
        <w:rPr>
          <w:sz w:val="20"/>
          <w:szCs w:val="20"/>
        </w:rPr>
      </w:pPr>
    </w:p>
    <w:p w:rsidR="00F84CCD" w:rsidRDefault="00D5375B" w:rsidP="007A59F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:rsidR="00F84CCD" w:rsidRPr="00CC0FA3" w:rsidRDefault="00F84CCD" w:rsidP="007A59F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(Name, date and signature)</w:t>
      </w:r>
    </w:p>
    <w:sectPr w:rsidR="00F84CCD" w:rsidRPr="00CC0FA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C6" w:rsidRDefault="00CE19C6" w:rsidP="00AB230E">
      <w:pPr>
        <w:spacing w:after="0" w:line="240" w:lineRule="auto"/>
      </w:pPr>
      <w:r>
        <w:separator/>
      </w:r>
    </w:p>
  </w:endnote>
  <w:endnote w:type="continuationSeparator" w:id="0">
    <w:p w:rsidR="00CE19C6" w:rsidRDefault="00CE19C6" w:rsidP="00AB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C6" w:rsidRDefault="00CE19C6" w:rsidP="00AB230E">
      <w:pPr>
        <w:spacing w:after="0" w:line="240" w:lineRule="auto"/>
      </w:pPr>
      <w:r>
        <w:separator/>
      </w:r>
    </w:p>
  </w:footnote>
  <w:footnote w:type="continuationSeparator" w:id="0">
    <w:p w:rsidR="00CE19C6" w:rsidRDefault="00CE19C6" w:rsidP="00AB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0E" w:rsidRDefault="00B05BA2" w:rsidP="00AB230E">
    <w:pPr>
      <w:pStyle w:val="Header"/>
      <w:jc w:val="center"/>
    </w:pPr>
    <w:r w:rsidRPr="00B05BA2">
      <w:rPr>
        <w:b/>
      </w:rPr>
      <w:t>Cambodia Climate Change Alliance (CCCA) – Phase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1216"/>
    <w:multiLevelType w:val="hybridMultilevel"/>
    <w:tmpl w:val="BE8A6136"/>
    <w:lvl w:ilvl="0" w:tplc="DD82504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A6000C"/>
    <w:multiLevelType w:val="hybridMultilevel"/>
    <w:tmpl w:val="458A0BA0"/>
    <w:lvl w:ilvl="0" w:tplc="A77A9D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A3"/>
    <w:rsid w:val="0003446F"/>
    <w:rsid w:val="002A247C"/>
    <w:rsid w:val="0030603D"/>
    <w:rsid w:val="003A4BFA"/>
    <w:rsid w:val="003C5D13"/>
    <w:rsid w:val="00481933"/>
    <w:rsid w:val="00535EFB"/>
    <w:rsid w:val="005F7581"/>
    <w:rsid w:val="00680B6A"/>
    <w:rsid w:val="006A458C"/>
    <w:rsid w:val="006F3F74"/>
    <w:rsid w:val="00756D02"/>
    <w:rsid w:val="007A59F6"/>
    <w:rsid w:val="008839CB"/>
    <w:rsid w:val="009C3B79"/>
    <w:rsid w:val="00AB230E"/>
    <w:rsid w:val="00AD5336"/>
    <w:rsid w:val="00B05BA2"/>
    <w:rsid w:val="00B66D11"/>
    <w:rsid w:val="00CC0FA3"/>
    <w:rsid w:val="00CE19C6"/>
    <w:rsid w:val="00D16180"/>
    <w:rsid w:val="00D42097"/>
    <w:rsid w:val="00D5375B"/>
    <w:rsid w:val="00D96255"/>
    <w:rsid w:val="00E625EB"/>
    <w:rsid w:val="00F12420"/>
    <w:rsid w:val="00F8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30E"/>
  </w:style>
  <w:style w:type="paragraph" w:styleId="Footer">
    <w:name w:val="footer"/>
    <w:basedOn w:val="Normal"/>
    <w:link w:val="FooterChar"/>
    <w:uiPriority w:val="99"/>
    <w:unhideWhenUsed/>
    <w:rsid w:val="00AB2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30E"/>
  </w:style>
  <w:style w:type="paragraph" w:styleId="BalloonText">
    <w:name w:val="Balloon Text"/>
    <w:basedOn w:val="Normal"/>
    <w:link w:val="BalloonTextChar"/>
    <w:uiPriority w:val="99"/>
    <w:semiHidden/>
    <w:unhideWhenUsed/>
    <w:rsid w:val="00AB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30E"/>
  </w:style>
  <w:style w:type="paragraph" w:styleId="Footer">
    <w:name w:val="footer"/>
    <w:basedOn w:val="Normal"/>
    <w:link w:val="FooterChar"/>
    <w:uiPriority w:val="99"/>
    <w:unhideWhenUsed/>
    <w:rsid w:val="00AB2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30E"/>
  </w:style>
  <w:style w:type="paragraph" w:styleId="BalloonText">
    <w:name w:val="Balloon Text"/>
    <w:basedOn w:val="Normal"/>
    <w:link w:val="BalloonTextChar"/>
    <w:uiPriority w:val="99"/>
    <w:semiHidden/>
    <w:unhideWhenUsed/>
    <w:rsid w:val="00AB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Reaksmey</cp:lastModifiedBy>
  <cp:revision>23</cp:revision>
  <dcterms:created xsi:type="dcterms:W3CDTF">2013-03-08T11:27:00Z</dcterms:created>
  <dcterms:modified xsi:type="dcterms:W3CDTF">2015-08-26T01:44:00Z</dcterms:modified>
</cp:coreProperties>
</file>